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长城小标宋体" w:cs="长城小标宋体"/>
          <w:color w:val="FF0000"/>
          <w:sz w:val="32"/>
          <w:szCs w:val="32"/>
          <w:highlight w:val="none"/>
          <w:lang w:eastAsia="zh-CN"/>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长城小标宋体" w:cs="长城小标宋体"/>
          <w:sz w:val="84"/>
          <w:szCs w:val="84"/>
          <w:highlight w:val="none"/>
        </w:rPr>
      </w:pPr>
      <w:r>
        <w:rPr>
          <w:rFonts w:hint="eastAsia" w:ascii="Times New Roman" w:hAnsi="Times New Roman" w:eastAsia="长城小标宋体" w:cs="长城小标宋体"/>
          <w:color w:val="FF0000"/>
          <w:sz w:val="84"/>
          <w:szCs w:val="84"/>
          <w:highlight w:val="none"/>
          <w:lang w:eastAsia="zh-CN"/>
        </w:rPr>
        <w:t>河南内审</w:t>
      </w:r>
      <w:r>
        <w:rPr>
          <w:rFonts w:hint="eastAsia" w:ascii="Times New Roman" w:hAnsi="Times New Roman" w:eastAsia="长城小标宋体" w:cs="长城小标宋体"/>
          <w:color w:val="FF0000"/>
          <w:sz w:val="84"/>
          <w:szCs w:val="84"/>
          <w:highlight w:val="none"/>
        </w:rPr>
        <w:t>工作</w:t>
      </w:r>
      <w:r>
        <w:rPr>
          <w:rFonts w:hint="eastAsia" w:ascii="Times New Roman" w:hAnsi="Times New Roman" w:eastAsia="长城小标宋体" w:cs="长城小标宋体"/>
          <w:color w:val="FF0000"/>
          <w:sz w:val="84"/>
          <w:szCs w:val="84"/>
          <w:highlight w:val="none"/>
          <w:lang w:eastAsia="zh-CN"/>
        </w:rPr>
        <w:t>资</w:t>
      </w:r>
      <w:r>
        <w:rPr>
          <w:rFonts w:hint="eastAsia" w:ascii="Times New Roman" w:hAnsi="Times New Roman" w:eastAsia="长城小标宋体" w:cs="长城小标宋体"/>
          <w:color w:val="FF0000"/>
          <w:sz w:val="84"/>
          <w:szCs w:val="84"/>
          <w:highlight w:val="none"/>
        </w:rPr>
        <w:t>讯</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cs="仿宋_GB2312"/>
          <w:szCs w:val="32"/>
          <w:highlight w:val="none"/>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第</w:t>
      </w:r>
      <w:r>
        <w:rPr>
          <w:rFonts w:hint="eastAsia"/>
          <w:sz w:val="32"/>
          <w:szCs w:val="32"/>
          <w:highlight w:val="none"/>
          <w:lang w:val="en-US" w:eastAsia="zh-CN"/>
        </w:rPr>
        <w:t>4</w:t>
      </w:r>
      <w:r>
        <w:rPr>
          <w:rFonts w:hint="eastAsia" w:ascii="Times New Roman" w:hAnsi="Times New Roman" w:eastAsia="仿宋_GB2312"/>
          <w:sz w:val="32"/>
          <w:szCs w:val="32"/>
          <w:highlight w:val="none"/>
          <w:lang w:val="en-US" w:eastAsia="zh-CN"/>
        </w:rPr>
        <w:t>期</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ascii="Times New Roman" w:hAnsi="Times New Roman" w:eastAsia="仿宋_GB2312"/>
          <w:sz w:val="32"/>
          <w:szCs w:val="32"/>
          <w:highlight w:val="none"/>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总</w:t>
      </w:r>
      <w:r>
        <w:rPr>
          <w:rFonts w:ascii="Times New Roman" w:hAnsi="Times New Roman" w:eastAsia="仿宋_GB2312"/>
          <w:sz w:val="32"/>
          <w:szCs w:val="32"/>
          <w:highlight w:val="none"/>
        </w:rPr>
        <w:t>第</w:t>
      </w:r>
      <w:r>
        <w:rPr>
          <w:rFonts w:hint="eastAsia" w:ascii="Times New Roman" w:hAnsi="Times New Roman"/>
          <w:sz w:val="32"/>
          <w:szCs w:val="32"/>
          <w:highlight w:val="none"/>
          <w:lang w:val="en-US" w:eastAsia="zh-CN"/>
        </w:rPr>
        <w:t>3</w:t>
      </w:r>
      <w:r>
        <w:rPr>
          <w:rFonts w:hint="eastAsia"/>
          <w:sz w:val="32"/>
          <w:szCs w:val="32"/>
          <w:highlight w:val="none"/>
          <w:lang w:val="en-US" w:eastAsia="zh-CN"/>
        </w:rPr>
        <w:t>5</w:t>
      </w:r>
      <w:r>
        <w:rPr>
          <w:rFonts w:ascii="Times New Roman" w:hAnsi="Times New Roman" w:eastAsia="仿宋_GB2312"/>
          <w:sz w:val="32"/>
          <w:szCs w:val="32"/>
          <w:highlight w:val="none"/>
        </w:rPr>
        <w:t>期）</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cs="仿宋_GB2312"/>
          <w:szCs w:val="32"/>
          <w:highlight w:val="none"/>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left"/>
        <w:textAlignment w:val="auto"/>
        <w:outlineLvl w:val="9"/>
        <w:rPr>
          <w:rFonts w:hint="eastAsia" w:ascii="Times New Roman" w:hAnsi="Times New Roman" w:eastAsia="仿宋_GB2312" w:cs="仿宋_GB2312"/>
          <w:w w:val="105"/>
          <w:sz w:val="32"/>
          <w:szCs w:val="32"/>
          <w:highlight w:val="none"/>
        </w:rPr>
      </w:pPr>
      <w:r>
        <w:rPr>
          <w:rFonts w:hint="eastAsia" w:ascii="Times New Roman" w:hAnsi="Times New Roman" w:eastAsia="仿宋_GB2312" w:cs="仿宋_GB2312"/>
          <w:w w:val="105"/>
          <w:sz w:val="32"/>
          <w:szCs w:val="32"/>
          <w:highlight w:val="none"/>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600" w:lineRule="atLeast"/>
        <w:ind w:left="0" w:leftChars="0" w:right="0" w:rightChars="0" w:firstLine="0" w:firstLineChars="0"/>
        <w:jc w:val="left"/>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内部审计指导监督处                   </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202</w:t>
      </w:r>
      <w:r>
        <w:rPr>
          <w:rFonts w:hint="eastAsia"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cs="Times New Roman"/>
          <w:color w:val="auto"/>
          <w:sz w:val="32"/>
          <w:szCs w:val="32"/>
          <w:highlight w:val="none"/>
          <w:lang w:val="en-US" w:eastAsia="zh-CN"/>
        </w:rPr>
        <w:t>8</w:t>
      </w:r>
      <w:r>
        <w:rPr>
          <w:rFonts w:hint="eastAsia" w:ascii="Times New Roman" w:hAnsi="Times New Roman" w:cs="Times New Roman"/>
          <w:color w:val="auto"/>
          <w:sz w:val="32"/>
          <w:szCs w:val="32"/>
          <w:highlight w:val="none"/>
          <w:lang w:val="en-US" w:eastAsia="zh-CN"/>
        </w:rPr>
        <w:t>月</w:t>
      </w:r>
      <w:r>
        <w:rPr>
          <w:rFonts w:hint="eastAsia"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color w:val="FF0000"/>
          <w:highlight w:val="none"/>
        </w:rPr>
        <w:t xml:space="preserve">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长城小标宋体" w:hAnsi="长城小标宋体" w:eastAsia="长城小标宋体" w:cs="长城小标宋体"/>
          <w:sz w:val="44"/>
          <w:szCs w:val="44"/>
          <w:lang w:val="en-US" w:eastAsia="zh-CN"/>
        </w:rPr>
      </w:pPr>
      <w:r>
        <w:rPr>
          <w:rFonts w:hint="eastAsia" w:ascii="长城小标宋体" w:hAnsi="长城小标宋体" w:eastAsia="长城小标宋体" w:cs="长城小标宋体"/>
          <w:sz w:val="44"/>
          <w:szCs w:val="44"/>
          <w:lang w:val="en-US" w:eastAsia="zh-CN"/>
        </w:rPr>
        <w:t>强化内部审计监督职能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长城小标宋体" w:hAnsi="长城小标宋体" w:eastAsia="长城小标宋体" w:cs="长城小标宋体"/>
          <w:sz w:val="44"/>
          <w:szCs w:val="44"/>
          <w:lang w:val="en-US" w:eastAsia="zh-CN"/>
        </w:rPr>
      </w:pPr>
      <w:r>
        <w:rPr>
          <w:rFonts w:hint="eastAsia" w:ascii="长城小标宋体" w:hAnsi="长城小标宋体" w:eastAsia="长城小标宋体" w:cs="长城小标宋体"/>
          <w:sz w:val="44"/>
          <w:szCs w:val="44"/>
          <w:lang w:val="en-US" w:eastAsia="zh-CN"/>
        </w:rPr>
        <w:t>为中原银行高质量发展保驾护航</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b w:val="0"/>
          <w:bCs w:val="0"/>
          <w:sz w:val="32"/>
          <w:szCs w:val="32"/>
          <w:highlight w:val="none"/>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rightChars="0" w:firstLine="632"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近年来，中原银行内部审计工作以习近平新时代中国特色社会主义思想为指导，全面贯彻党的二十大、中央经济工作会议、中央审计委员会会议精神及省委经济工作会议部署，紧密围绕本行发展战略，立足风险防范第三道防线职能定位，服务经营发展大局，强化</w:t>
      </w:r>
      <w:r>
        <w:rPr>
          <w:rFonts w:hint="eastAsia" w:ascii="仿宋_GB2312" w:hAnsi="仿宋_GB2312" w:cs="仿宋_GB2312"/>
          <w:b w:val="0"/>
          <w:bCs w:val="0"/>
          <w:sz w:val="32"/>
          <w:szCs w:val="32"/>
          <w:highlight w:val="none"/>
          <w:lang w:val="en-US" w:eastAsia="zh-CN"/>
        </w:rPr>
        <w:t>内部</w:t>
      </w:r>
      <w:r>
        <w:rPr>
          <w:rFonts w:hint="eastAsia" w:ascii="仿宋_GB2312" w:hAnsi="仿宋_GB2312" w:eastAsia="仿宋_GB2312" w:cs="仿宋_GB2312"/>
          <w:b w:val="0"/>
          <w:bCs w:val="0"/>
          <w:sz w:val="32"/>
          <w:szCs w:val="32"/>
          <w:highlight w:val="none"/>
          <w:lang w:val="en-US" w:eastAsia="zh-CN"/>
        </w:rPr>
        <w:t>审计职能，发挥内部审计“经济体检”功能，为中原银行高质量发展保驾护航。</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ind w:right="214" w:rightChars="0"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一、重视内部审计工作，建立健全内部审计体制机制</w:t>
      </w:r>
    </w:p>
    <w:p>
      <w:pPr>
        <w:keepNext w:val="0"/>
        <w:keepLines w:val="0"/>
        <w:pageBreakBefore w:val="0"/>
        <w:kinsoku/>
        <w:wordWrap/>
        <w:overflowPunct/>
        <w:topLinePunct w:val="0"/>
        <w:autoSpaceDE/>
        <w:autoSpaceDN/>
        <w:bidi w:val="0"/>
        <w:adjustRightInd/>
        <w:snapToGrid/>
        <w:spacing w:line="560" w:lineRule="exact"/>
        <w:ind w:right="0" w:firstLine="64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高度</w:t>
      </w:r>
      <w:r>
        <w:rPr>
          <w:rFonts w:hint="eastAsia" w:ascii="仿宋_GB2312" w:hAnsi="仿宋_GB2312" w:cs="仿宋_GB2312"/>
          <w:b w:val="0"/>
          <w:bCs w:val="0"/>
          <w:sz w:val="32"/>
          <w:szCs w:val="32"/>
          <w:highlight w:val="none"/>
          <w:lang w:val="en-US" w:eastAsia="zh-CN"/>
        </w:rPr>
        <w:t>重视内部审计工作</w:t>
      </w:r>
      <w:r>
        <w:rPr>
          <w:rFonts w:hint="eastAsia" w:ascii="仿宋_GB2312" w:hAnsi="仿宋_GB2312" w:eastAsia="仿宋_GB2312" w:cs="仿宋_GB2312"/>
          <w:b w:val="0"/>
          <w:bCs w:val="0"/>
          <w:sz w:val="32"/>
          <w:szCs w:val="32"/>
          <w:highlight w:val="none"/>
          <w:lang w:val="en-US" w:eastAsia="zh-CN"/>
        </w:rPr>
        <w:t>，不断完善党委领导下的垂直、独立审计组织架构。董事会及下设审计委员会指导监督全行内部审计工作，并设置独立</w:t>
      </w:r>
      <w:r>
        <w:rPr>
          <w:rFonts w:hint="eastAsia" w:ascii="仿宋_GB2312" w:hAnsi="仿宋_GB2312" w:cs="仿宋_GB2312"/>
          <w:b w:val="0"/>
          <w:bCs w:val="0"/>
          <w:sz w:val="32"/>
          <w:szCs w:val="32"/>
          <w:highlight w:val="none"/>
          <w:lang w:val="en-US" w:eastAsia="zh-CN"/>
        </w:rPr>
        <w:t>的内部</w:t>
      </w:r>
      <w:r>
        <w:rPr>
          <w:rFonts w:hint="eastAsia" w:ascii="仿宋_GB2312" w:hAnsi="仿宋_GB2312" w:eastAsia="仿宋_GB2312" w:cs="仿宋_GB2312"/>
          <w:b w:val="0"/>
          <w:bCs w:val="0"/>
          <w:sz w:val="32"/>
          <w:szCs w:val="32"/>
          <w:highlight w:val="none"/>
          <w:lang w:val="en-US" w:eastAsia="zh-CN"/>
        </w:rPr>
        <w:t>审计部门</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配备精干力量切实履行</w:t>
      </w:r>
      <w:r>
        <w:rPr>
          <w:rFonts w:hint="eastAsia" w:ascii="仿宋_GB2312" w:hAnsi="仿宋_GB2312" w:cs="仿宋_GB2312"/>
          <w:b w:val="0"/>
          <w:bCs w:val="0"/>
          <w:sz w:val="32"/>
          <w:szCs w:val="32"/>
          <w:highlight w:val="none"/>
          <w:lang w:val="en-US" w:eastAsia="zh-CN"/>
        </w:rPr>
        <w:t>内部</w:t>
      </w:r>
      <w:r>
        <w:rPr>
          <w:rFonts w:hint="eastAsia" w:ascii="仿宋_GB2312" w:hAnsi="仿宋_GB2312" w:eastAsia="仿宋_GB2312" w:cs="仿宋_GB2312"/>
          <w:b w:val="0"/>
          <w:bCs w:val="0"/>
          <w:sz w:val="32"/>
          <w:szCs w:val="32"/>
          <w:highlight w:val="none"/>
          <w:lang w:val="en-US" w:eastAsia="zh-CN"/>
        </w:rPr>
        <w:t>审计监督职能。整合内部审计资源，对审计组织架构进行了优化调整，形成了由总行审计部、洛阳审计中心、平顶山审计中心和焦作审计中心构成的“一部三中心”的垂直、独立、职责清晰的架构体系。总行审计部统一组织我行审计工作，下设综合管理部、业务审计部、IT与非现场审计部、经济责任审计部四个二级部，二级部各司其职、协同合作，推动审计工作有序开展。审计中心作为总行派出机构，接受总行审计部业务指导和监督检查，对辖内审计资源进行统筹调配，推动</w:t>
      </w:r>
      <w:r>
        <w:rPr>
          <w:rFonts w:hint="eastAsia" w:ascii="仿宋_GB2312" w:hAnsi="仿宋_GB2312" w:cs="仿宋_GB2312"/>
          <w:b w:val="0"/>
          <w:bCs w:val="0"/>
          <w:sz w:val="32"/>
          <w:szCs w:val="32"/>
          <w:highlight w:val="none"/>
          <w:lang w:val="en-US" w:eastAsia="zh-CN"/>
        </w:rPr>
        <w:t>内部</w:t>
      </w:r>
      <w:r>
        <w:rPr>
          <w:rFonts w:hint="eastAsia" w:ascii="仿宋_GB2312" w:hAnsi="仿宋_GB2312" w:eastAsia="仿宋_GB2312" w:cs="仿宋_GB2312"/>
          <w:b w:val="0"/>
          <w:bCs w:val="0"/>
          <w:sz w:val="32"/>
          <w:szCs w:val="32"/>
          <w:highlight w:val="none"/>
          <w:lang w:val="en-US" w:eastAsia="zh-CN"/>
        </w:rPr>
        <w:t>审计工作高效开展。同时不断推进审计工作制度化、规范化建设，先后制订了《审计章程》《现场审计操作规程》《非现场审计操作规程》等内部审计制度。截至目前，已形成了涵盖审计章程、现场审计、非现场审计、信息科技审计、经济责任审计、内控评价、考评管理、审计档案管理的全对象、全流程审计制度体系，使审计工作有章可循、有规可依。</w:t>
      </w:r>
    </w:p>
    <w:p>
      <w:pPr>
        <w:keepNext w:val="0"/>
        <w:keepLines w:val="0"/>
        <w:pageBreakBefore w:val="0"/>
        <w:kinsoku/>
        <w:wordWrap/>
        <w:overflowPunct/>
        <w:topLinePunct w:val="0"/>
        <w:autoSpaceDE/>
        <w:autoSpaceDN/>
        <w:bidi w:val="0"/>
        <w:adjustRightInd/>
        <w:snapToGrid/>
        <w:spacing w:line="560" w:lineRule="exact"/>
        <w:ind w:right="0" w:firstLine="64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黑体" w:hAnsi="黑体" w:eastAsia="黑体" w:cs="黑体"/>
          <w:b w:val="0"/>
          <w:bCs w:val="0"/>
          <w:kern w:val="2"/>
          <w:sz w:val="32"/>
          <w:szCs w:val="32"/>
          <w:lang w:val="en-US" w:eastAsia="zh-CN" w:bidi="ar-SA"/>
        </w:rPr>
        <w:t>二、履行内部审计职能，构建独立有效的内部审计监督体系</w:t>
      </w: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审计部作为风险防范第三道防线，对总行各部门及分行机构实施审计监督，各审计中心按照总行审计部要求，承担对辖属机构的风险监测职责，实施内部审计属地监督。构建了相对独立、完整、多角度检查的内部审计监督体系，确保有问题早发现、早提醒、早纠正。一是以发展战略为导向，结合战略部署和年度经营计划确定审计重点领域和范围。着眼于银行集团关注的主要风险、公司治理、子公司风险控制等问题，总行审计部制定年度审计计划、部署重大审计项目，年度审计计划提请董事会审议后实施。二是高质量完成审计项目，加强全流程质量控制。从审计管理质量控制、审计项目质量控制和审计质量评价体系三方面推动审计质量的提升。按照行领导提出的“流程化、规范化、模板化”要求，进一步理顺审计工作流程，提高审计质量和效率。三是积极探索新的业务领域，拓展内部审计的广度和深度。扎实开展理财同业业务、市场风险业务、信息科技效能审计项目，通过审计手段推动战略落地实施，督促政策执行过程不走样。积极开展子公司审计，关注政策执行、内部控制、财务管理、资产处置等重大事项，切实维护银行集团整体经营管理、资产的安全完整，促进国有资产保值增值。</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三、优化内部审计工作模式，持续提升内部审计价值</w:t>
      </w:r>
    </w:p>
    <w:p>
      <w:pPr>
        <w:keepNext w:val="0"/>
        <w:keepLines w:val="0"/>
        <w:pageBreakBefore w:val="0"/>
        <w:kinsoku/>
        <w:wordWrap/>
        <w:overflowPunct/>
        <w:topLinePunct w:val="0"/>
        <w:autoSpaceDE/>
        <w:autoSpaceDN/>
        <w:bidi w:val="0"/>
        <w:adjustRightInd/>
        <w:snapToGrid/>
        <w:spacing w:line="560" w:lineRule="exact"/>
        <w:ind w:right="0" w:firstLine="64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持续优化内部审计工作模式，推动建立以风险为导向、以控制为主线、以治理为目标、以增值为目的的现代内部审计新模式。</w:t>
      </w:r>
      <w:r>
        <w:rPr>
          <w:rFonts w:hint="eastAsia" w:ascii="仿宋_GB2312" w:hAnsi="仿宋_GB2312" w:eastAsia="仿宋_GB2312" w:cs="仿宋_GB2312"/>
          <w:b/>
          <w:bCs/>
          <w:sz w:val="32"/>
          <w:szCs w:val="32"/>
          <w:highlight w:val="none"/>
          <w:lang w:val="en-US" w:eastAsia="zh-CN"/>
        </w:rPr>
        <w:t>以风险为导向</w:t>
      </w:r>
      <w:r>
        <w:rPr>
          <w:rFonts w:hint="eastAsia" w:ascii="仿宋_GB2312" w:hAnsi="仿宋_GB2312" w:cs="仿宋_GB2312"/>
          <w:b/>
          <w:bCs/>
          <w:sz w:val="32"/>
          <w:szCs w:val="32"/>
          <w:highlight w:val="none"/>
          <w:lang w:val="en-US" w:eastAsia="zh-CN"/>
        </w:rPr>
        <w:t>。</w:t>
      </w:r>
      <w:r>
        <w:rPr>
          <w:rFonts w:hint="eastAsia" w:ascii="仿宋_GB2312" w:hAnsi="仿宋_GB2312" w:cs="仿宋_GB2312"/>
          <w:b w:val="0"/>
          <w:bCs w:val="0"/>
          <w:sz w:val="32"/>
          <w:szCs w:val="32"/>
          <w:highlight w:val="none"/>
          <w:lang w:val="en-US" w:eastAsia="zh-CN"/>
        </w:rPr>
        <w:t>即</w:t>
      </w:r>
      <w:r>
        <w:rPr>
          <w:rFonts w:hint="eastAsia" w:ascii="仿宋_GB2312" w:hAnsi="仿宋_GB2312" w:eastAsia="仿宋_GB2312" w:cs="仿宋_GB2312"/>
          <w:b w:val="0"/>
          <w:bCs w:val="0"/>
          <w:sz w:val="32"/>
          <w:szCs w:val="32"/>
          <w:highlight w:val="none"/>
          <w:lang w:val="en-US" w:eastAsia="zh-CN"/>
        </w:rPr>
        <w:t>从集团层面战略全局出发，利用审计分析系统对各类风险因素进行全面分析评估，依据影响企业价值目标实现的风险程度排定审计项目先后次序，聚焦重要节点，凸显重要环节。</w:t>
      </w:r>
      <w:r>
        <w:rPr>
          <w:rFonts w:hint="eastAsia" w:ascii="仿宋_GB2312" w:hAnsi="仿宋_GB2312" w:eastAsia="仿宋_GB2312" w:cs="仿宋_GB2312"/>
          <w:b/>
          <w:bCs/>
          <w:sz w:val="32"/>
          <w:szCs w:val="32"/>
          <w:highlight w:val="none"/>
          <w:lang w:val="en-US" w:eastAsia="zh-CN"/>
        </w:rPr>
        <w:t>以控制为主线</w:t>
      </w:r>
      <w:r>
        <w:rPr>
          <w:rFonts w:hint="eastAsia" w:ascii="仿宋_GB2312" w:hAnsi="仿宋_GB2312" w:cs="仿宋_GB2312"/>
          <w:b/>
          <w:bCs/>
          <w:sz w:val="32"/>
          <w:szCs w:val="32"/>
          <w:highlight w:val="none"/>
          <w:lang w:val="en-US" w:eastAsia="zh-CN"/>
        </w:rPr>
        <w:t>。</w:t>
      </w:r>
      <w:r>
        <w:rPr>
          <w:rFonts w:hint="eastAsia" w:ascii="仿宋_GB2312" w:hAnsi="仿宋_GB2312" w:cs="仿宋_GB2312"/>
          <w:b w:val="0"/>
          <w:bCs w:val="0"/>
          <w:sz w:val="32"/>
          <w:szCs w:val="32"/>
          <w:highlight w:val="none"/>
          <w:lang w:val="en-US" w:eastAsia="zh-CN"/>
        </w:rPr>
        <w:t>即</w:t>
      </w:r>
      <w:r>
        <w:rPr>
          <w:rFonts w:hint="eastAsia" w:ascii="仿宋_GB2312" w:hAnsi="仿宋_GB2312" w:eastAsia="仿宋_GB2312" w:cs="仿宋_GB2312"/>
          <w:b w:val="0"/>
          <w:bCs w:val="0"/>
          <w:sz w:val="32"/>
          <w:szCs w:val="32"/>
          <w:highlight w:val="none"/>
          <w:lang w:val="en-US" w:eastAsia="zh-CN"/>
        </w:rPr>
        <w:t>强化内部流程控制，推进银行和下属企业建立分级授权、分事行权、定期轮岗机制，防止权力滥用。</w:t>
      </w:r>
      <w:r>
        <w:rPr>
          <w:rFonts w:hint="eastAsia" w:ascii="仿宋_GB2312" w:hAnsi="仿宋_GB2312" w:eastAsia="仿宋_GB2312" w:cs="仿宋_GB2312"/>
          <w:b/>
          <w:bCs/>
          <w:sz w:val="32"/>
          <w:szCs w:val="32"/>
          <w:highlight w:val="none"/>
          <w:lang w:val="en-US" w:eastAsia="zh-CN"/>
        </w:rPr>
        <w:t>以治理为目标</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即促进集团完善法人治理结构，特别关注内部认定及关联交易情况，规范和控制关联交易风险，促进商业银行安全、稳健运行。重点监督银行集团及子公司董事会建设及运行是否规范，董事会及各专业委员会</w:t>
      </w:r>
      <w:r>
        <w:rPr>
          <w:rFonts w:hint="eastAsia" w:ascii="仿宋_GB2312" w:hAnsi="仿宋_GB2312" w:cs="仿宋_GB2312"/>
          <w:b w:val="0"/>
          <w:bCs w:val="0"/>
          <w:sz w:val="32"/>
          <w:szCs w:val="32"/>
          <w:highlight w:val="none"/>
          <w:lang w:val="en-US" w:eastAsia="zh-CN"/>
        </w:rPr>
        <w:t>会</w:t>
      </w:r>
      <w:r>
        <w:rPr>
          <w:rFonts w:hint="eastAsia" w:ascii="仿宋_GB2312" w:hAnsi="仿宋_GB2312" w:eastAsia="仿宋_GB2312" w:cs="仿宋_GB2312"/>
          <w:b w:val="0"/>
          <w:bCs w:val="0"/>
          <w:sz w:val="32"/>
          <w:szCs w:val="32"/>
          <w:highlight w:val="none"/>
          <w:lang w:val="en-US" w:eastAsia="zh-CN"/>
        </w:rPr>
        <w:t>议事规则和决策程序是否执行到位，“三重一大”决策制度是否严格落实，外派董事、监事是否尽职履责，确保实现科学决策和民主决策。</w:t>
      </w:r>
      <w:r>
        <w:rPr>
          <w:rFonts w:hint="eastAsia" w:ascii="仿宋_GB2312" w:hAnsi="仿宋_GB2312" w:eastAsia="仿宋_GB2312" w:cs="仿宋_GB2312"/>
          <w:b/>
          <w:bCs/>
          <w:sz w:val="32"/>
          <w:szCs w:val="32"/>
          <w:highlight w:val="none"/>
          <w:lang w:val="en-US" w:eastAsia="zh-CN"/>
        </w:rPr>
        <w:t>以增值为目的</w:t>
      </w:r>
      <w:r>
        <w:rPr>
          <w:rFonts w:hint="eastAsia" w:ascii="仿宋_GB2312" w:hAnsi="仿宋_GB2312"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即将增加本行价值作为内部审计的着力点和落脚点</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开展审计工作牢牢树立增值服务的理念，聚焦资产质量不平衡和核心主业发展不充分的问题，从内部价值链的薄弱环节寻找突破口，在规范内部管理、完善内部控制、防范经营风险、提质增效等方面提供服务，帮助银行集团提高发展质量和效益。</w:t>
      </w: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坚持客观求实和问题导向，以审计报告为载体，揭示重大风险隐患，注重从制度建设和流程设计层面，提出意见建议</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审计报告出具前均经行长、副董事长、董事长、党委书记审阅批示，部分专项审计报告提交董事会专业委员会、董事会及监事会审议。</w:t>
      </w:r>
      <w:r>
        <w:rPr>
          <w:rFonts w:hint="eastAsia" w:ascii="仿宋_GB2312" w:hAnsi="仿宋_GB2312" w:cs="仿宋_GB2312"/>
          <w:b w:val="0"/>
          <w:bCs w:val="0"/>
          <w:sz w:val="32"/>
          <w:szCs w:val="32"/>
          <w:highlight w:val="none"/>
          <w:lang w:val="en-US" w:eastAsia="zh-CN"/>
        </w:rPr>
        <w:t>同时</w:t>
      </w:r>
      <w:r>
        <w:rPr>
          <w:rFonts w:hint="eastAsia" w:ascii="仿宋_GB2312" w:hAnsi="仿宋_GB2312" w:eastAsia="仿宋_GB2312" w:cs="仿宋_GB2312"/>
          <w:b w:val="0"/>
          <w:bCs w:val="0"/>
          <w:sz w:val="32"/>
          <w:szCs w:val="32"/>
          <w:highlight w:val="none"/>
          <w:lang w:val="en-US" w:eastAsia="zh-CN"/>
        </w:rPr>
        <w:t>推行审计风险提示工作模式，针对现场审计和日常工作发现的风险隐患事项，及时向问题归口管理部门提示风险隐患、内控缺陷、制度漏洞，督促其分析产生问题的根源，制定整改措施</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并向审计部门反馈整改结果，从而实现风险防范关口前移。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四、创新内部审计方式方法，主动适应高质量发展要求</w:t>
      </w: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按照行领导“科技立行”的指导思想，实现审计工作“体系完整、过程完整、记录完整”的</w:t>
      </w:r>
      <w:r>
        <w:rPr>
          <w:rFonts w:hint="eastAsia" w:ascii="仿宋_GB2312" w:hAnsi="仿宋_GB2312" w:cs="仿宋_GB2312"/>
          <w:b w:val="0"/>
          <w:bCs w:val="0"/>
          <w:sz w:val="32"/>
          <w:szCs w:val="32"/>
          <w:highlight w:val="none"/>
          <w:lang w:val="en-US" w:eastAsia="zh-CN"/>
        </w:rPr>
        <w:t>要求</w:t>
      </w:r>
      <w:r>
        <w:rPr>
          <w:rFonts w:hint="eastAsia" w:ascii="仿宋_GB2312" w:hAnsi="仿宋_GB2312" w:eastAsia="仿宋_GB2312" w:cs="仿宋_GB2312"/>
          <w:b w:val="0"/>
          <w:bCs w:val="0"/>
          <w:sz w:val="32"/>
          <w:szCs w:val="32"/>
          <w:highlight w:val="none"/>
          <w:lang w:val="en-US" w:eastAsia="zh-CN"/>
        </w:rPr>
        <w:t>，我行于</w:t>
      </w:r>
      <w:r>
        <w:rPr>
          <w:rFonts w:hint="eastAsia" w:ascii="Times New Roman" w:hAnsi="Times New Roman" w:eastAsia="仿宋_GB2312" w:cs="Times New Roman"/>
          <w:color w:val="auto"/>
          <w:sz w:val="32"/>
          <w:szCs w:val="32"/>
          <w:lang w:val="en-US" w:eastAsia="zh-CN"/>
        </w:rPr>
        <w:t>2016</w:t>
      </w:r>
      <w:r>
        <w:rPr>
          <w:rFonts w:hint="eastAsia" w:ascii="仿宋_GB2312" w:hAnsi="仿宋_GB2312" w:eastAsia="仿宋_GB2312" w:cs="仿宋_GB2312"/>
          <w:b w:val="0"/>
          <w:bCs w:val="0"/>
          <w:sz w:val="32"/>
          <w:szCs w:val="32"/>
          <w:highlight w:val="none"/>
          <w:lang w:val="en-US" w:eastAsia="zh-CN"/>
        </w:rPr>
        <w:t>年末上线了审计分析系统，并不断深化系统运用，为现场审计提供数据支持和技术支撑。一是</w:t>
      </w:r>
      <w:r>
        <w:rPr>
          <w:rFonts w:hint="eastAsia" w:ascii="仿宋_GB2312" w:hAnsi="仿宋_GB2312" w:cs="仿宋_GB2312"/>
          <w:b w:val="0"/>
          <w:bCs w:val="0"/>
          <w:sz w:val="32"/>
          <w:szCs w:val="32"/>
          <w:highlight w:val="none"/>
          <w:lang w:val="en-US" w:eastAsia="zh-CN"/>
        </w:rPr>
        <w:t>加强</w:t>
      </w:r>
      <w:r>
        <w:rPr>
          <w:rFonts w:hint="eastAsia" w:ascii="仿宋_GB2312" w:hAnsi="仿宋_GB2312" w:eastAsia="仿宋_GB2312" w:cs="仿宋_GB2312"/>
          <w:b w:val="0"/>
          <w:bCs w:val="0"/>
          <w:sz w:val="32"/>
          <w:szCs w:val="32"/>
          <w:highlight w:val="none"/>
          <w:lang w:val="en-US" w:eastAsia="zh-CN"/>
        </w:rPr>
        <w:t>非现场分析，</w:t>
      </w:r>
      <w:r>
        <w:rPr>
          <w:rFonts w:hint="eastAsia" w:ascii="仿宋_GB2312" w:hAnsi="仿宋_GB2312" w:cs="仿宋_GB2312"/>
          <w:b w:val="0"/>
          <w:bCs w:val="0"/>
          <w:sz w:val="32"/>
          <w:szCs w:val="32"/>
          <w:highlight w:val="none"/>
          <w:lang w:val="en-US" w:eastAsia="zh-CN"/>
        </w:rPr>
        <w:t>通过</w:t>
      </w:r>
      <w:r>
        <w:rPr>
          <w:rFonts w:hint="eastAsia" w:ascii="仿宋_GB2312" w:hAnsi="仿宋_GB2312" w:eastAsia="仿宋_GB2312" w:cs="仿宋_GB2312"/>
          <w:b w:val="0"/>
          <w:bCs w:val="0"/>
          <w:sz w:val="32"/>
          <w:szCs w:val="32"/>
          <w:highlight w:val="none"/>
          <w:lang w:val="en-US" w:eastAsia="zh-CN"/>
        </w:rPr>
        <w:t>初步建立的数据分析模型，突出审计重点，指导现场审计，为现场审计提供准确的导向和明确的工作重点，优化配置审计资源，推动审计项目深度融合，做到了“一审多项”、“一审多果”、“一果多用”；二是用现场审计验证非现场技术，提高非现场审计的综合能力和工作效率，相互促进，共同完善，培养审计人员运用信息化技术核查问题、评价判断、宏观分析的能力；三是根据我行战略目标、发展实际、业务类别和风险偏好，持续完善审计分析系统功能，增强了审计业务针对性，提高了审计效率。</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五、强化内部审计结果运用，着力做好审计整改“下半篇文章”</w:t>
      </w: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一是健全整改工作机制，建立问题成因分析机制、问题清单和对账销号机制、督导验证机制和协同联动机制，强化整改流程管控，提升整改工作成效；重视审计整改质量，定期回访并开展审计回头看，督促被审计单位整改到位，在清理老问题的同时少出或不出新问题，逐步根除问题产生的土壤，解决屡审屡犯的顽症。二是将审计整改结果列入各单位绩效考核指标，按季度开展考评工作，并将考评结果在全行范围内进行通报。同时，为鼓励被审计机构构建自查自纠工作机制，采取了科学</w:t>
      </w:r>
      <w:r>
        <w:rPr>
          <w:rFonts w:hint="eastAsia" w:ascii="仿宋_GB2312" w:hAnsi="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灵活的奖惩机制，有效激发被审计机构自主发现问题的积极性，实现审计效益的最大化。三是强化责任追究，对违反规定、未履行或未正确履行职责造成资产损失以及其他严重不良后果的经营管理人员，按照法定程序进行追究问责。四是通过深入分析审计发现问题的成因，查找在制度建设和流程规划方面存在缺陷，向治理层和经营层提出切实可行的改进建议，推进相关部门修复内部控制存在的缺陷，促使内部控制持续保持先进性和有效性，提升经营管理水平。</w:t>
      </w: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 w:val="0"/>
          <w:bCs w:val="0"/>
          <w:sz w:val="32"/>
          <w:szCs w:val="32"/>
          <w:highlight w:val="none"/>
          <w:lang w:val="en-US" w:eastAsia="zh-CN"/>
        </w:rPr>
      </w:pPr>
    </w:p>
    <w:p/>
    <w:p>
      <w:pPr>
        <w:pStyle w:val="20"/>
        <w:rPr>
          <w:rFonts w:hint="default" w:ascii="Times New Roman" w:hAnsi="Times New Roman"/>
          <w:highlight w:val="none"/>
        </w:rPr>
      </w:pPr>
    </w:p>
    <w:p>
      <w:pPr>
        <w:pStyle w:val="20"/>
        <w:rPr>
          <w:rFonts w:hint="default" w:ascii="Times New Roman" w:hAnsi="Times New Roman"/>
          <w:highlight w:val="none"/>
        </w:rPr>
      </w:pPr>
    </w:p>
    <w:p>
      <w:pPr>
        <w:pStyle w:val="20"/>
        <w:rPr>
          <w:rFonts w:hint="default" w:ascii="Times New Roman" w:hAnsi="Times New Roman"/>
          <w:highlight w:val="none"/>
        </w:rPr>
      </w:pPr>
    </w:p>
    <w:p>
      <w:pPr>
        <w:pStyle w:val="20"/>
        <w:rPr>
          <w:rFonts w:hint="default" w:ascii="Times New Roman" w:hAnsi="Times New Roman"/>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kern w:val="2"/>
          <w:sz w:val="44"/>
          <w:szCs w:val="44"/>
          <w:highlight w:val="none"/>
          <w:lang w:val="en-US" w:eastAsia="zh-CN" w:bidi="ar-SA"/>
        </w:rPr>
      </w:pPr>
      <w:bookmarkStart w:id="0" w:name="_GoBack"/>
      <w:bookmarkEnd w:id="0"/>
      <w:r>
        <w:rPr>
          <w:rFonts w:hint="eastAsia" w:ascii="长城小标宋体" w:hAnsi="长城小标宋体" w:eastAsia="长城小标宋体" w:cs="长城小标宋体"/>
          <w:kern w:val="2"/>
          <w:sz w:val="44"/>
          <w:szCs w:val="44"/>
          <w:highlight w:val="none"/>
          <w:lang w:val="en-US" w:eastAsia="zh-CN" w:bidi="ar-SA"/>
        </w:rPr>
        <w:t>河南民航发展投资集团有限公司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长城小标宋体" w:hAnsi="长城小标宋体" w:eastAsia="长城小标宋体" w:cs="长城小标宋体"/>
          <w:sz w:val="44"/>
          <w:szCs w:val="44"/>
          <w:highlight w:val="none"/>
          <w:lang w:val="en-US" w:eastAsia="zh-CN"/>
        </w:rPr>
      </w:pPr>
      <w:r>
        <w:rPr>
          <w:rFonts w:hint="eastAsia" w:ascii="长城小标宋体" w:hAnsi="长城小标宋体" w:eastAsia="长城小标宋体" w:cs="长城小标宋体"/>
          <w:sz w:val="44"/>
          <w:szCs w:val="44"/>
          <w:highlight w:val="none"/>
          <w:lang w:eastAsia="zh-CN"/>
        </w:rPr>
        <w:t>聚焦主责主业</w:t>
      </w:r>
      <w:r>
        <w:rPr>
          <w:rFonts w:hint="eastAsia" w:ascii="长城小标宋体" w:hAnsi="长城小标宋体" w:eastAsia="长城小标宋体" w:cs="长城小标宋体"/>
          <w:sz w:val="44"/>
          <w:szCs w:val="44"/>
          <w:highlight w:val="none"/>
          <w:lang w:val="en-US" w:eastAsia="zh-CN"/>
        </w:rPr>
        <w:t xml:space="preserve">  积极履行</w:t>
      </w:r>
      <w:r>
        <w:rPr>
          <w:rFonts w:hint="eastAsia" w:ascii="长城小标宋体" w:hAnsi="长城小标宋体" w:eastAsia="长城小标宋体" w:cs="长城小标宋体"/>
          <w:sz w:val="44"/>
          <w:szCs w:val="44"/>
          <w:highlight w:val="none"/>
          <w:lang w:eastAsia="zh-CN"/>
        </w:rPr>
        <w:t>内部审计职责</w:t>
      </w:r>
    </w:p>
    <w:p>
      <w:pPr>
        <w:pStyle w:val="4"/>
        <w:rPr>
          <w:rFonts w:hint="eastAsia" w:ascii="方正小标宋简体" w:hAnsi="方正小标宋简体" w:eastAsia="方正小标宋简体" w:cs="方正小标宋简体"/>
          <w:sz w:val="21"/>
          <w:szCs w:val="21"/>
          <w:lang w:val="en-US" w:eastAsia="zh-CN"/>
        </w:rPr>
      </w:pPr>
    </w:p>
    <w:p>
      <w:pPr>
        <w:pStyle w:val="4"/>
        <w:keepNext w:val="0"/>
        <w:keepLines w:val="0"/>
        <w:pageBreakBefore w:val="0"/>
        <w:kinsoku/>
        <w:wordWrap/>
        <w:overflowPunct/>
        <w:topLinePunct w:val="0"/>
        <w:autoSpaceDE/>
        <w:autoSpaceDN/>
        <w:bidi w:val="0"/>
        <w:spacing w:line="560"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在省审计厅的支持和公司党委的正确领导下，深入贯彻落实</w:t>
      </w:r>
      <w:r>
        <w:rPr>
          <w:rFonts w:hint="eastAsia" w:ascii="仿宋_GB2312" w:hAnsi="仿宋_GB2312" w:eastAsia="仿宋_GB2312" w:cs="仿宋_GB2312"/>
          <w:sz w:val="32"/>
          <w:szCs w:val="32"/>
          <w:highlight w:val="none"/>
          <w:lang w:val="en-US" w:eastAsia="zh-CN"/>
        </w:rPr>
        <w:t>省委审计委员会关于内部审计方面的决策部署，按照省审计厅要求，结合公司“十四五”战略规划，紧紧围</w:t>
      </w:r>
      <w:r>
        <w:rPr>
          <w:rFonts w:hint="eastAsia" w:ascii="仿宋_GB2312" w:hAnsi="仿宋_GB2312" w:eastAsia="仿宋_GB2312" w:cs="仿宋_GB2312"/>
          <w:sz w:val="32"/>
          <w:szCs w:val="32"/>
          <w:lang w:val="en-US" w:eastAsia="zh-CN"/>
        </w:rPr>
        <w:t>绕主责主业，积极履行内部审计职责，充分发挥内部审计在规范企业内部管理、防范控制风险、提高管理绩效、促进廉政建设等方面的作用，取得了一定的成效。</w:t>
      </w:r>
    </w:p>
    <w:p>
      <w:pPr>
        <w:pStyle w:val="4"/>
        <w:keepNext w:val="0"/>
        <w:keepLines w:val="0"/>
        <w:pageBreakBefore w:val="0"/>
        <w:kinsoku/>
        <w:wordWrap/>
        <w:overflowPunct/>
        <w:topLinePunct w:val="0"/>
        <w:autoSpaceDE/>
        <w:autoSpaceDN/>
        <w:bidi w:val="0"/>
        <w:spacing w:line="560" w:lineRule="exact"/>
        <w:ind w:left="0" w:leftChars="0" w:firstLine="640" w:firstLineChars="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一、开展内部审计工作的经验做法</w:t>
      </w:r>
    </w:p>
    <w:p>
      <w:pPr>
        <w:pStyle w:val="4"/>
        <w:keepNext w:val="0"/>
        <w:keepLines w:val="0"/>
        <w:pageBreakBefore w:val="0"/>
        <w:kinsoku/>
        <w:wordWrap/>
        <w:overflowPunct/>
        <w:topLinePunct w:val="0"/>
        <w:autoSpaceDE/>
        <w:autoSpaceDN/>
        <w:bidi w:val="0"/>
        <w:spacing w:line="560" w:lineRule="exact"/>
        <w:ind w:left="0" w:leftChars="0" w:firstLine="640" w:firstLineChars="0"/>
        <w:textAlignment w:val="auto"/>
        <w:outlineLvl w:val="1"/>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（一）讲政治站好位，高度重视内部审计工作</w:t>
      </w:r>
    </w:p>
    <w:p>
      <w:pPr>
        <w:pStyle w:val="4"/>
        <w:keepNext w:val="0"/>
        <w:keepLines w:val="0"/>
        <w:pageBreakBefore w:val="0"/>
        <w:kinsoku/>
        <w:wordWrap/>
        <w:overflowPunct/>
        <w:topLinePunct w:val="0"/>
        <w:autoSpaceDE/>
        <w:autoSpaceDN/>
        <w:bidi w:val="0"/>
        <w:spacing w:line="560"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公司</w:t>
      </w:r>
      <w:r>
        <w:rPr>
          <w:rFonts w:hint="eastAsia" w:ascii="仿宋_GB2312" w:hAnsi="仿宋_GB2312" w:eastAsia="仿宋_GB2312" w:cs="仿宋_GB2312"/>
          <w:sz w:val="32"/>
          <w:szCs w:val="32"/>
          <w:lang w:val="en-US" w:eastAsia="zh-CN"/>
        </w:rPr>
        <w:t>加强党对内部审计工作的领导，营造旗帜鲜明讲政治的良好氛围，把内部审计作为监督体系的重要组成部分，时刻把政治站位、政治标准、政治要求贯穿于、融会于审计队伍建设、审计工作全过程。认真贯彻落实省委审计委员会工作部署，建立起党委、董事会领导下的内部审计领导体制，设立审计与风险委员会，明确一名领导班子成员协助董事长管理内部审计工作。</w:t>
      </w: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jc w:val="both"/>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（二）建制度抓队伍，规范内部审计工作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jc w:val="both"/>
        <w:textAlignment w:val="auto"/>
        <w:outlineLvl w:val="9"/>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kern w:val="2"/>
          <w:sz w:val="32"/>
          <w:szCs w:val="32"/>
          <w:lang w:val="en-US" w:eastAsia="zh-CN" w:bidi="ar-SA"/>
        </w:rPr>
        <w:t>为促进内部审计工作规范、有序开展，制定了内部审计基本制度，</w:t>
      </w:r>
      <w:r>
        <w:rPr>
          <w:rFonts w:hint="eastAsia" w:ascii="仿宋_GB2312" w:hAnsi="仿宋_GB2312" w:eastAsia="仿宋_GB2312" w:cs="仿宋_GB2312"/>
          <w:b w:val="0"/>
          <w:bCs w:val="0"/>
          <w:kern w:val="2"/>
          <w:sz w:val="32"/>
          <w:szCs w:val="32"/>
          <w:lang w:val="en-US" w:eastAsia="zh-CN" w:bidi="ar-SA"/>
        </w:rPr>
        <w:t>编制了</w:t>
      </w:r>
      <w:r>
        <w:rPr>
          <w:rFonts w:hint="eastAsia" w:ascii="仿宋_GB2312" w:hAnsi="仿宋_GB2312" w:eastAsia="仿宋_GB2312" w:cs="仿宋_GB2312"/>
          <w:b w:val="0"/>
          <w:bCs w:val="0"/>
          <w:color w:val="auto"/>
          <w:kern w:val="2"/>
          <w:sz w:val="32"/>
          <w:szCs w:val="32"/>
          <w:u w:val="none"/>
          <w:lang w:val="en-US" w:eastAsia="zh-CN" w:bidi="ar-SA"/>
        </w:rPr>
        <w:t>内部审计工作手册，设计了内部审计工作模版，为开展</w:t>
      </w:r>
      <w:r>
        <w:rPr>
          <w:rFonts w:hint="eastAsia" w:ascii="仿宋_GB2312" w:hAnsi="仿宋_GB2312" w:eastAsia="仿宋_GB2312" w:cs="仿宋_GB2312"/>
          <w:b w:val="0"/>
          <w:bCs w:val="0"/>
          <w:color w:val="auto"/>
          <w:kern w:val="2"/>
          <w:sz w:val="32"/>
          <w:szCs w:val="32"/>
          <w:lang w:val="en-US" w:eastAsia="zh-CN" w:bidi="ar-SA"/>
        </w:rPr>
        <w:t>高质量</w:t>
      </w:r>
      <w:r>
        <w:rPr>
          <w:rFonts w:hint="eastAsia" w:ascii="仿宋_GB2312" w:hAnsi="仿宋_GB2312" w:eastAsia="仿宋_GB2312" w:cs="仿宋_GB2312"/>
          <w:b w:val="0"/>
          <w:bCs w:val="0"/>
          <w:color w:val="auto"/>
          <w:kern w:val="2"/>
          <w:sz w:val="32"/>
          <w:szCs w:val="32"/>
          <w:u w:val="none"/>
          <w:lang w:val="en-US" w:eastAsia="zh-CN" w:bidi="ar-SA"/>
        </w:rPr>
        <w:t>的内部审计工作打下了坚实的基础。</w:t>
      </w:r>
      <w:r>
        <w:rPr>
          <w:rFonts w:hint="eastAsia" w:ascii="仿宋_GB2312" w:hAnsi="仿宋_GB2312" w:eastAsia="仿宋_GB2312" w:cs="仿宋_GB2312"/>
          <w:color w:val="auto"/>
          <w:kern w:val="2"/>
          <w:sz w:val="32"/>
          <w:szCs w:val="32"/>
          <w:u w:val="none"/>
          <w:shd w:val="clear"/>
          <w:lang w:val="en-US" w:eastAsia="zh-CN" w:bidi="ar-SA"/>
        </w:rPr>
        <w:t>同时严格内部审计人员准入，选择政治过硬、德才兼备、具备专业技能和业务知识的复合型人才组建内部审计队伍。为尽快提升</w:t>
      </w:r>
      <w:r>
        <w:rPr>
          <w:rFonts w:hint="eastAsia" w:ascii="仿宋_GB2312" w:hAnsi="仿宋_GB2312" w:eastAsia="仿宋_GB2312" w:cs="仿宋_GB2312"/>
          <w:b w:val="0"/>
          <w:bCs w:val="0"/>
          <w:color w:val="auto"/>
          <w:kern w:val="2"/>
          <w:sz w:val="32"/>
          <w:szCs w:val="32"/>
          <w:lang w:val="en-US" w:eastAsia="zh-CN" w:bidi="ar-SA"/>
        </w:rPr>
        <w:t>团队工作能力，多措并举营造学习氛围和学习途径，积极参加省审计厅组织的“以审代训”以及适用性较强的培训学习，支持各种资格、职称考试等。内部审计人员</w:t>
      </w:r>
      <w:r>
        <w:rPr>
          <w:rFonts w:hint="eastAsia" w:ascii="仿宋_GB2312" w:hAnsi="Times New Roman" w:eastAsia="仿宋_GB2312" w:cstheme="minorBidi"/>
          <w:kern w:val="2"/>
          <w:sz w:val="32"/>
          <w:szCs w:val="32"/>
          <w:highlight w:val="none"/>
          <w:lang w:val="en-GB" w:eastAsia="zh-CN" w:bidi="ar-SA"/>
        </w:rPr>
        <w:t>专业分布在审计、会计、金融、信息化等多个领域，团队成员中多人具有正高级、中级职称及注册会计师执业资格，</w:t>
      </w:r>
      <w:r>
        <w:rPr>
          <w:rFonts w:hint="eastAsia" w:ascii="仿宋_GB2312" w:cstheme="minorBidi"/>
          <w:kern w:val="2"/>
          <w:sz w:val="32"/>
          <w:szCs w:val="32"/>
          <w:highlight w:val="none"/>
          <w:lang w:val="en-GB" w:eastAsia="zh-CN" w:bidi="ar-SA"/>
        </w:rPr>
        <w:t>均</w:t>
      </w:r>
      <w:r>
        <w:rPr>
          <w:rFonts w:hint="eastAsia" w:ascii="仿宋_GB2312" w:hAnsi="Times New Roman" w:eastAsia="仿宋_GB2312" w:cstheme="minorBidi"/>
          <w:kern w:val="2"/>
          <w:sz w:val="32"/>
          <w:szCs w:val="32"/>
          <w:highlight w:val="none"/>
          <w:lang w:val="en-US" w:eastAsia="zh-CN" w:bidi="ar-SA"/>
        </w:rPr>
        <w:t>能</w:t>
      </w:r>
      <w:r>
        <w:rPr>
          <w:rFonts w:hint="eastAsia" w:ascii="仿宋_GB2312" w:hAnsi="仿宋_GB2312" w:eastAsia="仿宋_GB2312" w:cs="仿宋_GB2312"/>
          <w:b w:val="0"/>
          <w:bCs w:val="0"/>
          <w:color w:val="auto"/>
          <w:kern w:val="2"/>
          <w:sz w:val="32"/>
          <w:szCs w:val="32"/>
          <w:lang w:val="en-US" w:eastAsia="zh-CN" w:bidi="ar-SA"/>
        </w:rPr>
        <w:t>高质量完成内部审计工作任务。</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32" w:firstLineChars="200"/>
        <w:jc w:val="both"/>
        <w:textAlignment w:val="auto"/>
        <w:outlineLvl w:val="1"/>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（三）征建议定计划，落实内部审计职责</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32"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在开展</w:t>
      </w:r>
      <w:r>
        <w:rPr>
          <w:rFonts w:hint="eastAsia" w:ascii="仿宋_GB2312" w:hAnsi="宋体" w:eastAsia="仿宋_GB2312" w:cs="宋体"/>
          <w:sz w:val="32"/>
          <w:szCs w:val="32"/>
          <w:lang w:val="en-US" w:eastAsia="zh-CN"/>
        </w:rPr>
        <w:t>审计工作、制定审计计划时</w:t>
      </w:r>
      <w:r>
        <w:rPr>
          <w:rFonts w:hint="eastAsia" w:ascii="仿宋_GB2312" w:hAnsi="宋体" w:eastAsia="仿宋_GB2312" w:cs="宋体"/>
          <w:sz w:val="32"/>
          <w:szCs w:val="32"/>
          <w:highlight w:val="none"/>
          <w:lang w:val="en-US" w:eastAsia="zh-CN"/>
        </w:rPr>
        <w:t>，审计部</w:t>
      </w:r>
      <w:r>
        <w:rPr>
          <w:rFonts w:hint="eastAsia" w:ascii="仿宋_GB2312" w:hAnsi="宋体" w:eastAsia="仿宋_GB2312" w:cs="宋体"/>
          <w:sz w:val="32"/>
          <w:szCs w:val="32"/>
          <w:lang w:val="en-US" w:eastAsia="zh-CN"/>
        </w:rPr>
        <w:t>向</w:t>
      </w:r>
      <w:r>
        <w:rPr>
          <w:rFonts w:hint="eastAsia" w:ascii="仿宋_GB2312" w:hAnsi="仿宋_GB2312" w:eastAsia="仿宋_GB2312" w:cs="仿宋_GB2312"/>
          <w:kern w:val="2"/>
          <w:sz w:val="32"/>
          <w:szCs w:val="32"/>
          <w:lang w:val="en-US" w:eastAsia="zh-CN" w:bidi="ar-SA"/>
        </w:rPr>
        <w:t>各部室、项目部充分征集内部审计计划的意见建议，结合企业“十四五”规划，综合以前年度审计情况及各子公司情况，突出重点领域，聚焦主责主业，推动内部审计监督全覆盖。同时加强内部监督协同，结合相关部室工作职责及专项整治工作，提供审计支撑，有效履行内部审计工作职责。</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32" w:firstLineChars="200"/>
        <w:jc w:val="both"/>
        <w:textAlignment w:val="auto"/>
        <w:outlineLvl w:val="1"/>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（四）建台账提效能，确保问题整改到位</w:t>
      </w:r>
    </w:p>
    <w:p>
      <w:pPr>
        <w:keepNext w:val="0"/>
        <w:keepLines w:val="0"/>
        <w:pageBreakBefore w:val="0"/>
        <w:widowControl w:val="0"/>
        <w:kinsoku/>
        <w:wordWrap/>
        <w:overflowPunct/>
        <w:topLinePunct w:val="0"/>
        <w:autoSpaceDE/>
        <w:autoSpaceDN/>
        <w:bidi w:val="0"/>
        <w:spacing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为做好审计</w:t>
      </w:r>
      <w:r>
        <w:rPr>
          <w:rFonts w:hint="eastAsia" w:ascii="仿宋_GB2312" w:hAnsi="仿宋_GB2312" w:cs="仿宋_GB2312"/>
          <w:kern w:val="2"/>
          <w:sz w:val="32"/>
          <w:szCs w:val="32"/>
          <w:lang w:val="en-US" w:eastAsia="zh-CN" w:bidi="ar-SA"/>
        </w:rPr>
        <w:t>整改</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下</w:t>
      </w:r>
      <w:r>
        <w:rPr>
          <w:rFonts w:hint="eastAsia" w:ascii="仿宋_GB2312" w:hAnsi="仿宋_GB2312" w:eastAsia="仿宋_GB2312" w:cs="仿宋_GB2312"/>
          <w:kern w:val="2"/>
          <w:sz w:val="32"/>
          <w:szCs w:val="32"/>
          <w:lang w:val="en-US" w:eastAsia="zh-CN" w:bidi="ar-SA"/>
        </w:rPr>
        <w:t>半篇文章”，压实审计整改落实责任，对已完成的内部审计项目建立整改台账，并对被审计单位整改工作进行监督、指导，开展审计整改落实“回头看”，检查被审计单位对整改措施的落实情况和整改效果，确保真抓实改、整改到位，提升内部审计监督效能。</w:t>
      </w:r>
    </w:p>
    <w:p>
      <w:pPr>
        <w:keepNext w:val="0"/>
        <w:keepLines w:val="0"/>
        <w:pageBreakBefore w:val="0"/>
        <w:widowControl w:val="0"/>
        <w:kinsoku/>
        <w:wordWrap/>
        <w:overflowPunct/>
        <w:topLinePunct w:val="0"/>
        <w:autoSpaceDE/>
        <w:autoSpaceDN/>
        <w:bidi w:val="0"/>
        <w:spacing w:line="560" w:lineRule="exact"/>
        <w:ind w:firstLine="632" w:firstLineChars="200"/>
        <w:jc w:val="both"/>
        <w:textAlignment w:val="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二、开展内部审计工作取得的成效</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32" w:firstLineChars="200"/>
        <w:jc w:val="both"/>
        <w:textAlignment w:val="auto"/>
        <w:outlineLvl w:val="1"/>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（一）规范管理，促进企业加强内控管理</w:t>
      </w:r>
    </w:p>
    <w:p>
      <w:pPr>
        <w:keepNext w:val="0"/>
        <w:keepLines w:val="0"/>
        <w:pageBreakBefore w:val="0"/>
        <w:widowControl w:val="0"/>
        <w:kinsoku/>
        <w:wordWrap/>
        <w:overflowPunct/>
        <w:topLinePunct w:val="0"/>
        <w:autoSpaceDE/>
        <w:autoSpaceDN/>
        <w:bidi w:val="0"/>
        <w:spacing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内部控制审计，对企业相关业务活动予以客观评价和监督，发现企业经营管理中存在的潜在风险，提出有针对性的防控对策，减少和降低风险的发生，促进企业提高风险管控能力。通过审计，被审计单位建立完善二十余项内控制度，有效促进被审单位加强内部控制管理、提高风险防范能力，提升运营效率和经营管理水平。</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32" w:firstLineChars="200"/>
        <w:jc w:val="both"/>
        <w:textAlignment w:val="auto"/>
        <w:outlineLvl w:val="1"/>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（二）聚焦经责，促进领导干部尽责履职</w:t>
      </w:r>
    </w:p>
    <w:p>
      <w:pPr>
        <w:keepNext w:val="0"/>
        <w:keepLines w:val="0"/>
        <w:pageBreakBefore w:val="0"/>
        <w:widowControl w:val="0"/>
        <w:kinsoku/>
        <w:wordWrap/>
        <w:overflowPunct/>
        <w:topLinePunct w:val="0"/>
        <w:autoSpaceDE/>
        <w:autoSpaceDN/>
        <w:bidi w:val="0"/>
        <w:spacing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开展经济责任审计，加大对所属企业主要领导人员履职尽责的监督力度，增强对领导干部权力运行的监督制约。在综合分析、全面评价被审计领导干部履行经济责任情况的同时， 围绕重大经济决策、资金流转全过程，以内部管理状况为基础，正确评价被审计领导干部任职期间所在单位的经营发展和事业发展状况，促进被审计领导干部切实履行好经济责任，推动企业规范管理，加强廉政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32" w:firstLineChars="200"/>
        <w:jc w:val="both"/>
        <w:textAlignment w:val="auto"/>
        <w:outlineLvl w:val="1"/>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（三）提质增效，保障企业高质量发展</w:t>
      </w:r>
    </w:p>
    <w:p>
      <w:pPr>
        <w:keepNext w:val="0"/>
        <w:keepLines w:val="0"/>
        <w:pageBreakBefore w:val="0"/>
        <w:widowControl w:val="0"/>
        <w:kinsoku/>
        <w:wordWrap/>
        <w:overflowPunct/>
        <w:topLinePunct w:val="0"/>
        <w:autoSpaceDE/>
        <w:autoSpaceDN/>
        <w:bidi w:val="0"/>
        <w:spacing w:line="560" w:lineRule="exact"/>
        <w:ind w:firstLine="632" w:firstLineChars="200"/>
        <w:jc w:val="both"/>
        <w:textAlignment w:val="auto"/>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kern w:val="2"/>
          <w:sz w:val="32"/>
          <w:szCs w:val="32"/>
          <w:lang w:val="en-US" w:eastAsia="zh-CN" w:bidi="ar-SA"/>
        </w:rPr>
        <w:t>开展各</w:t>
      </w:r>
      <w:r>
        <w:rPr>
          <w:rFonts w:hint="eastAsia" w:ascii="仿宋_GB2312" w:hAnsi="仿宋_GB2312" w:eastAsia="仿宋_GB2312" w:cs="仿宋_GB2312"/>
          <w:kern w:val="2"/>
          <w:sz w:val="32"/>
          <w:szCs w:val="32"/>
          <w:highlight w:val="none"/>
          <w:lang w:val="en-US" w:eastAsia="zh-CN" w:bidi="ar-SA"/>
        </w:rPr>
        <w:t>专项审计，对</w:t>
      </w:r>
      <w:r>
        <w:rPr>
          <w:rFonts w:hint="eastAsia" w:ascii="仿宋_GB2312" w:hAnsi="仿宋_GB2312" w:eastAsia="仿宋_GB2312" w:cs="仿宋_GB2312"/>
          <w:kern w:val="2"/>
          <w:sz w:val="32"/>
          <w:szCs w:val="32"/>
          <w:lang w:val="en-US" w:eastAsia="zh-CN" w:bidi="ar-SA"/>
        </w:rPr>
        <w:t>企业经营情况进行全面检查，充分发挥“经济体检”作用。规范财务、招标、投资等管理工作，确保国有资产的安全与完整，防止资产流失，促进企业提高经营管理能力，提升运营质效，实现国有资产的保值增值，保障企业高质量发展。</w:t>
      </w:r>
    </w:p>
    <w:p>
      <w:pPr>
        <w:keepNext w:val="0"/>
        <w:keepLines w:val="0"/>
        <w:pageBreakBefore w:val="0"/>
        <w:widowControl w:val="0"/>
        <w:kinsoku/>
        <w:wordWrap/>
        <w:overflowPunct/>
        <w:topLinePunct w:val="0"/>
        <w:autoSpaceDE/>
        <w:autoSpaceDN/>
        <w:bidi w:val="0"/>
        <w:spacing w:line="560" w:lineRule="exact"/>
        <w:ind w:firstLine="632" w:firstLineChars="200"/>
        <w:jc w:val="both"/>
        <w:textAlignment w:val="auto"/>
        <w:rPr>
          <w:rFonts w:hint="default" w:ascii="仿宋_GB2312" w:hAnsi="仿宋_GB2312" w:eastAsia="仿宋_GB2312" w:cs="仿宋_GB2312"/>
          <w:kern w:val="2"/>
          <w:sz w:val="32"/>
          <w:szCs w:val="32"/>
          <w:lang w:val="en-US" w:eastAsia="zh-CN" w:bidi="ar-SA"/>
        </w:rPr>
      </w:pPr>
    </w:p>
    <w:p>
      <w:pPr>
        <w:pStyle w:val="20"/>
        <w:rPr>
          <w:rFonts w:hint="default" w:ascii="Times New Roman" w:hAnsi="Times New Roman"/>
          <w:highlight w:val="none"/>
        </w:rPr>
      </w:pPr>
    </w:p>
    <w:p>
      <w:pPr>
        <w:pStyle w:val="20"/>
        <w:rPr>
          <w:rFonts w:hint="default" w:ascii="Times New Roman" w:hAnsi="Times New Roman"/>
          <w:highlight w:val="none"/>
        </w:rPr>
      </w:pP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decimal"/>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Menlo">
    <w:altName w:val="Blue Highway D Type"/>
    <w:panose1 w:val="00000000000000000000"/>
    <w:charset w:val="00"/>
    <w:family w:val="auto"/>
    <w:pitch w:val="default"/>
    <w:sig w:usb0="00000000" w:usb1="00000000" w:usb2="00000000" w:usb3="00000000" w:csb0="00000000" w:csb1="00000000"/>
  </w:font>
  <w:font w:name="Blue Highway D Type">
    <w:panose1 w:val="00000400000000000000"/>
    <w:charset w:val="00"/>
    <w:family w:val="auto"/>
    <w:pitch w:val="default"/>
    <w:sig w:usb0="00000003" w:usb1="00000000" w:usb2="00000000" w:usb3="00000000" w:csb0="00000001" w:csb1="00000000"/>
  </w:font>
  <w:font w:name="长城小标宋体">
    <w:panose1 w:val="02010609010101010101"/>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158"/>
  <w:drawingGridVerticalSpacing w:val="29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BB4922"/>
    <w:rsid w:val="022A53CB"/>
    <w:rsid w:val="0392490F"/>
    <w:rsid w:val="04EE0CB9"/>
    <w:rsid w:val="067223CD"/>
    <w:rsid w:val="06767972"/>
    <w:rsid w:val="0BE7C928"/>
    <w:rsid w:val="0C5B2095"/>
    <w:rsid w:val="0CCD00B5"/>
    <w:rsid w:val="0DF9CD99"/>
    <w:rsid w:val="0EFC7242"/>
    <w:rsid w:val="0F603889"/>
    <w:rsid w:val="0FD3548A"/>
    <w:rsid w:val="132C7E6C"/>
    <w:rsid w:val="1CD540DB"/>
    <w:rsid w:val="1DF932BF"/>
    <w:rsid w:val="1E846509"/>
    <w:rsid w:val="1F88487D"/>
    <w:rsid w:val="21E73240"/>
    <w:rsid w:val="22742FDC"/>
    <w:rsid w:val="24450F0F"/>
    <w:rsid w:val="2B17D4ED"/>
    <w:rsid w:val="2E0A430F"/>
    <w:rsid w:val="2E772C3A"/>
    <w:rsid w:val="2EDFA57C"/>
    <w:rsid w:val="2EF7BE3B"/>
    <w:rsid w:val="2FBF92D6"/>
    <w:rsid w:val="303372EC"/>
    <w:rsid w:val="31426BEF"/>
    <w:rsid w:val="31AE65ED"/>
    <w:rsid w:val="31C510AD"/>
    <w:rsid w:val="31FA8046"/>
    <w:rsid w:val="32B46A4E"/>
    <w:rsid w:val="33BC6D13"/>
    <w:rsid w:val="368E1509"/>
    <w:rsid w:val="37962250"/>
    <w:rsid w:val="37DF4F4E"/>
    <w:rsid w:val="39DD797E"/>
    <w:rsid w:val="3CF63331"/>
    <w:rsid w:val="3D0033A0"/>
    <w:rsid w:val="3D4E3473"/>
    <w:rsid w:val="3DFFE8FC"/>
    <w:rsid w:val="3E472D38"/>
    <w:rsid w:val="3EAB25E4"/>
    <w:rsid w:val="3FA7879C"/>
    <w:rsid w:val="41191532"/>
    <w:rsid w:val="44572C84"/>
    <w:rsid w:val="44BC0C36"/>
    <w:rsid w:val="45D00853"/>
    <w:rsid w:val="4710744F"/>
    <w:rsid w:val="48CA3DFD"/>
    <w:rsid w:val="4A0A1026"/>
    <w:rsid w:val="4B084D7B"/>
    <w:rsid w:val="4B0B1E18"/>
    <w:rsid w:val="4B9D08F7"/>
    <w:rsid w:val="4BF4FA81"/>
    <w:rsid w:val="4C8758D9"/>
    <w:rsid w:val="4D59532D"/>
    <w:rsid w:val="4FD98963"/>
    <w:rsid w:val="523B07DE"/>
    <w:rsid w:val="530C0F77"/>
    <w:rsid w:val="541166E0"/>
    <w:rsid w:val="54DD429D"/>
    <w:rsid w:val="55434256"/>
    <w:rsid w:val="55DFBD86"/>
    <w:rsid w:val="57CFD65F"/>
    <w:rsid w:val="57FFA700"/>
    <w:rsid w:val="58CF3E4F"/>
    <w:rsid w:val="59AB47FF"/>
    <w:rsid w:val="5BDB06D5"/>
    <w:rsid w:val="5BF5A031"/>
    <w:rsid w:val="5BFFC8A1"/>
    <w:rsid w:val="5D6B5344"/>
    <w:rsid w:val="5DDBA67B"/>
    <w:rsid w:val="5DFB621D"/>
    <w:rsid w:val="5DFBCE82"/>
    <w:rsid w:val="5F3F55BB"/>
    <w:rsid w:val="5FFBC670"/>
    <w:rsid w:val="5FFFD123"/>
    <w:rsid w:val="614F7AC3"/>
    <w:rsid w:val="62C2535C"/>
    <w:rsid w:val="661A68A5"/>
    <w:rsid w:val="67D77F18"/>
    <w:rsid w:val="67DFDF3C"/>
    <w:rsid w:val="69B82AA8"/>
    <w:rsid w:val="69D6769C"/>
    <w:rsid w:val="6BE25183"/>
    <w:rsid w:val="6BE79820"/>
    <w:rsid w:val="6C035E49"/>
    <w:rsid w:val="6CFD1220"/>
    <w:rsid w:val="6CFE1512"/>
    <w:rsid w:val="6CFF1BE3"/>
    <w:rsid w:val="6D79FD8C"/>
    <w:rsid w:val="6EEF40F7"/>
    <w:rsid w:val="6EEF744C"/>
    <w:rsid w:val="6EF70DAE"/>
    <w:rsid w:val="6EF75230"/>
    <w:rsid w:val="6EFF9F8A"/>
    <w:rsid w:val="6F1C4373"/>
    <w:rsid w:val="6F3FFE7C"/>
    <w:rsid w:val="6FAB18E1"/>
    <w:rsid w:val="6FE9AF97"/>
    <w:rsid w:val="6FEFDB69"/>
    <w:rsid w:val="6FF15225"/>
    <w:rsid w:val="6FFDB306"/>
    <w:rsid w:val="70534F74"/>
    <w:rsid w:val="706A301D"/>
    <w:rsid w:val="73BC4CD0"/>
    <w:rsid w:val="73F4FFE5"/>
    <w:rsid w:val="757B2FAB"/>
    <w:rsid w:val="75DE8A35"/>
    <w:rsid w:val="75EEA166"/>
    <w:rsid w:val="7759C063"/>
    <w:rsid w:val="777E450C"/>
    <w:rsid w:val="779D7074"/>
    <w:rsid w:val="77CB083C"/>
    <w:rsid w:val="77EB9271"/>
    <w:rsid w:val="77FF3FD6"/>
    <w:rsid w:val="791F5720"/>
    <w:rsid w:val="79DF66D0"/>
    <w:rsid w:val="79DFD35D"/>
    <w:rsid w:val="79E71749"/>
    <w:rsid w:val="7AFC798E"/>
    <w:rsid w:val="7B7FC699"/>
    <w:rsid w:val="7BA9D8AF"/>
    <w:rsid w:val="7BC44768"/>
    <w:rsid w:val="7BFBDD83"/>
    <w:rsid w:val="7BFFD479"/>
    <w:rsid w:val="7CBC4307"/>
    <w:rsid w:val="7D755603"/>
    <w:rsid w:val="7DAF6915"/>
    <w:rsid w:val="7DCF42C2"/>
    <w:rsid w:val="7DDF6D30"/>
    <w:rsid w:val="7E19F957"/>
    <w:rsid w:val="7E79A824"/>
    <w:rsid w:val="7EDDC53C"/>
    <w:rsid w:val="7EECE733"/>
    <w:rsid w:val="7F753FD4"/>
    <w:rsid w:val="7FBBC321"/>
    <w:rsid w:val="7FCA4FC7"/>
    <w:rsid w:val="7FCF0930"/>
    <w:rsid w:val="7FF60A9A"/>
    <w:rsid w:val="7FF7462C"/>
    <w:rsid w:val="7FFD7DDA"/>
    <w:rsid w:val="7FFDC17B"/>
    <w:rsid w:val="7FFFB12F"/>
    <w:rsid w:val="7FFFBD19"/>
    <w:rsid w:val="9CDE7D5F"/>
    <w:rsid w:val="9F337CA5"/>
    <w:rsid w:val="A1BD85DB"/>
    <w:rsid w:val="A3B77046"/>
    <w:rsid w:val="A3F89FD9"/>
    <w:rsid w:val="AEAF0C9B"/>
    <w:rsid w:val="AF6D54C0"/>
    <w:rsid w:val="AFDE2B5A"/>
    <w:rsid w:val="AFEB8955"/>
    <w:rsid w:val="AFEF4A6E"/>
    <w:rsid w:val="B62726FB"/>
    <w:rsid w:val="B7BD25CE"/>
    <w:rsid w:val="B96FEA9F"/>
    <w:rsid w:val="BADA9A59"/>
    <w:rsid w:val="BB359EE8"/>
    <w:rsid w:val="BEDFF036"/>
    <w:rsid w:val="BEEB023C"/>
    <w:rsid w:val="BF790C87"/>
    <w:rsid w:val="BF9ED801"/>
    <w:rsid w:val="BFD7D06D"/>
    <w:rsid w:val="BFEDF6CA"/>
    <w:rsid w:val="BFFE199A"/>
    <w:rsid w:val="C7DFC44E"/>
    <w:rsid w:val="CFEF7AEE"/>
    <w:rsid w:val="CFFF4993"/>
    <w:rsid w:val="D8EFA680"/>
    <w:rsid w:val="D9EF7F10"/>
    <w:rsid w:val="DDD60F51"/>
    <w:rsid w:val="DDFFDE53"/>
    <w:rsid w:val="DEFFB27D"/>
    <w:rsid w:val="DFB7307A"/>
    <w:rsid w:val="DFDDEC8D"/>
    <w:rsid w:val="E0FFA4C2"/>
    <w:rsid w:val="E355BB75"/>
    <w:rsid w:val="E3FC4B05"/>
    <w:rsid w:val="E6FE6C4E"/>
    <w:rsid w:val="E97D23BB"/>
    <w:rsid w:val="EBEB58E9"/>
    <w:rsid w:val="EBF71ECE"/>
    <w:rsid w:val="EC3B2DED"/>
    <w:rsid w:val="ED8F6E68"/>
    <w:rsid w:val="EDEA4273"/>
    <w:rsid w:val="EFFF947D"/>
    <w:rsid w:val="F3E74457"/>
    <w:rsid w:val="F3EF8996"/>
    <w:rsid w:val="F3FEC4B1"/>
    <w:rsid w:val="F5D2B19B"/>
    <w:rsid w:val="F5FB253A"/>
    <w:rsid w:val="F757BC71"/>
    <w:rsid w:val="F79714B0"/>
    <w:rsid w:val="F7BFAC8D"/>
    <w:rsid w:val="F7E60BDE"/>
    <w:rsid w:val="F7FF4C99"/>
    <w:rsid w:val="FA1D825D"/>
    <w:rsid w:val="FB6B532F"/>
    <w:rsid w:val="FB7F5CFC"/>
    <w:rsid w:val="FBEF812E"/>
    <w:rsid w:val="FBFF5B5B"/>
    <w:rsid w:val="FC6423DE"/>
    <w:rsid w:val="FCCD3797"/>
    <w:rsid w:val="FCDE2293"/>
    <w:rsid w:val="FCEBC418"/>
    <w:rsid w:val="FD7F2EF9"/>
    <w:rsid w:val="FD9D3F16"/>
    <w:rsid w:val="FDDF1A0B"/>
    <w:rsid w:val="FDE76581"/>
    <w:rsid w:val="FDF623AD"/>
    <w:rsid w:val="FDFFB361"/>
    <w:rsid w:val="FE3EA1D5"/>
    <w:rsid w:val="FE732B6F"/>
    <w:rsid w:val="FE9D73D8"/>
    <w:rsid w:val="FE9E6EAA"/>
    <w:rsid w:val="FEB62A2D"/>
    <w:rsid w:val="FF6F2061"/>
    <w:rsid w:val="FF6F7C82"/>
    <w:rsid w:val="FF7E70A8"/>
    <w:rsid w:val="FFA724DA"/>
    <w:rsid w:val="FFB69BCF"/>
    <w:rsid w:val="FFBD3D89"/>
    <w:rsid w:val="FFBF7FB9"/>
    <w:rsid w:val="FFBFED59"/>
    <w:rsid w:val="FFCCB31E"/>
    <w:rsid w:val="FFD7B23B"/>
    <w:rsid w:val="FFED463B"/>
    <w:rsid w:val="FFFD3102"/>
    <w:rsid w:val="FFFE40DE"/>
    <w:rsid w:val="FFFED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2"/>
    <w:basedOn w:val="1"/>
    <w:next w:val="1"/>
    <w:link w:val="21"/>
    <w:unhideWhenUsed/>
    <w:qFormat/>
    <w:uiPriority w:val="0"/>
    <w:pPr>
      <w:keepNext/>
      <w:keepLines/>
      <w:spacing w:before="260" w:after="260" w:line="416" w:lineRule="auto"/>
      <w:outlineLvl w:val="1"/>
    </w:pPr>
    <w:rPr>
      <w:rFonts w:ascii="Calibri Light" w:hAnsi="Calibri Light" w:eastAsia="宋体" w:cs="Times New Roman"/>
      <w:b/>
      <w:bCs/>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列出段落1"/>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styleId="4">
    <w:name w:val="Normal Indent"/>
    <w:basedOn w:val="1"/>
    <w:qFormat/>
    <w:uiPriority w:val="0"/>
    <w:pPr>
      <w:ind w:firstLine="420" w:firstLineChars="200"/>
    </w:pPr>
  </w:style>
  <w:style w:type="paragraph" w:styleId="5">
    <w:name w:val="Body Text"/>
    <w:basedOn w:val="1"/>
    <w:next w:val="6"/>
    <w:qFormat/>
    <w:uiPriority w:val="0"/>
    <w:pPr>
      <w:ind w:right="214"/>
    </w:pPr>
    <w:rPr>
      <w:rFonts w:ascii="仿宋_GB2312" w:eastAsia="仿宋_GB2312"/>
      <w:sz w:val="32"/>
    </w:rPr>
  </w:style>
  <w:style w:type="paragraph" w:customStyle="1" w:styleId="6">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Indent 2"/>
    <w:basedOn w:val="1"/>
    <w:unhideWhenUsed/>
    <w:qFormat/>
    <w:uiPriority w:val="99"/>
    <w:pPr>
      <w:ind w:left="2100" w:leftChars="1000"/>
    </w:pPr>
    <w:rPr>
      <w:rFonts w:ascii="宋体" w:hAnsi="宋体"/>
      <w:sz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jc w:val="left"/>
    </w:pPr>
    <w:rPr>
      <w:rFonts w:ascii="宋体" w:hAnsi="宋体" w:cs="宋体"/>
      <w:kern w:val="0"/>
      <w:sz w:val="18"/>
      <w:szCs w:val="18"/>
    </w:rPr>
  </w:style>
  <w:style w:type="character" w:styleId="13">
    <w:name w:val="Strong"/>
    <w:basedOn w:val="12"/>
    <w:qFormat/>
    <w:uiPriority w:val="0"/>
    <w:rPr>
      <w:b/>
    </w:rPr>
  </w:style>
  <w:style w:type="character" w:styleId="14">
    <w:name w:val="FollowedHyperlink"/>
    <w:basedOn w:val="12"/>
    <w:qFormat/>
    <w:uiPriority w:val="0"/>
    <w:rPr>
      <w:color w:val="4F4F4F"/>
      <w:u w:val="none"/>
    </w:rPr>
  </w:style>
  <w:style w:type="character" w:styleId="15">
    <w:name w:val="HTML Definition"/>
    <w:basedOn w:val="12"/>
    <w:qFormat/>
    <w:uiPriority w:val="0"/>
    <w:rPr>
      <w:i/>
    </w:rPr>
  </w:style>
  <w:style w:type="character" w:styleId="16">
    <w:name w:val="Hyperlink"/>
    <w:basedOn w:val="12"/>
    <w:qFormat/>
    <w:uiPriority w:val="0"/>
    <w:rPr>
      <w:color w:val="4F4F4F"/>
      <w:u w:val="none"/>
    </w:rPr>
  </w:style>
  <w:style w:type="character" w:styleId="17">
    <w:name w:val="HTML Code"/>
    <w:basedOn w:val="12"/>
    <w:qFormat/>
    <w:uiPriority w:val="0"/>
    <w:rPr>
      <w:rFonts w:hint="default" w:ascii="Menlo" w:hAnsi="Menlo" w:eastAsia="Menlo" w:cs="Menlo"/>
      <w:color w:val="C7254E"/>
      <w:sz w:val="21"/>
      <w:szCs w:val="21"/>
      <w:shd w:val="clear" w:fill="F9F2F4"/>
    </w:rPr>
  </w:style>
  <w:style w:type="character" w:styleId="18">
    <w:name w:val="HTML Keyboard"/>
    <w:basedOn w:val="12"/>
    <w:qFormat/>
    <w:uiPriority w:val="0"/>
    <w:rPr>
      <w:rFonts w:ascii="Menlo" w:hAnsi="Menlo" w:eastAsia="Menlo" w:cs="Menlo"/>
      <w:color w:val="FFFFFF"/>
      <w:sz w:val="21"/>
      <w:szCs w:val="21"/>
      <w:shd w:val="clear" w:fill="333333"/>
    </w:rPr>
  </w:style>
  <w:style w:type="character" w:styleId="19">
    <w:name w:val="HTML Sample"/>
    <w:basedOn w:val="12"/>
    <w:qFormat/>
    <w:uiPriority w:val="0"/>
    <w:rPr>
      <w:rFonts w:hint="default" w:ascii="Menlo" w:hAnsi="Menlo" w:eastAsia="Menlo" w:cs="Menlo"/>
      <w:sz w:val="21"/>
      <w:szCs w:val="21"/>
    </w:rPr>
  </w:style>
  <w:style w:type="paragraph" w:customStyle="1" w:styleId="20">
    <w:name w:val="BodyText"/>
    <w:basedOn w:val="1"/>
    <w:qFormat/>
    <w:uiPriority w:val="0"/>
    <w:pPr>
      <w:ind w:right="214"/>
      <w:jc w:val="both"/>
      <w:textAlignment w:val="baseline"/>
    </w:pPr>
    <w:rPr>
      <w:rFonts w:ascii="仿宋_GB2312"/>
      <w:kern w:val="2"/>
      <w:sz w:val="21"/>
      <w:szCs w:val="24"/>
      <w:lang w:val="en-US" w:eastAsia="zh-CN" w:bidi="ar-SA"/>
    </w:rPr>
  </w:style>
  <w:style w:type="character" w:customStyle="1" w:styleId="21">
    <w:name w:val="标题 2 Char"/>
    <w:basedOn w:val="12"/>
    <w:link w:val="3"/>
    <w:qFormat/>
    <w:uiPriority w:val="9"/>
    <w:rPr>
      <w:rFonts w:ascii="Calibri Light" w:hAnsi="Calibri Light" w:eastAsia="宋体" w:cs="Times New Roman"/>
      <w:b/>
      <w:bCs/>
      <w:szCs w:val="32"/>
    </w:rPr>
  </w:style>
  <w:style w:type="character" w:customStyle="1" w:styleId="22">
    <w:name w:val="glyphicon2"/>
    <w:basedOn w:val="12"/>
    <w:qFormat/>
    <w:uiPriority w:val="0"/>
  </w:style>
  <w:style w:type="character" w:customStyle="1" w:styleId="23">
    <w:name w:val="old"/>
    <w:basedOn w:val="12"/>
    <w:qFormat/>
    <w:uiPriority w:val="0"/>
    <w:rPr>
      <w:color w:val="999999"/>
    </w:rPr>
  </w:style>
  <w:style w:type="character" w:customStyle="1" w:styleId="24">
    <w:name w:val="hover5"/>
    <w:basedOn w:val="12"/>
    <w:qFormat/>
    <w:uiPriority w:val="0"/>
    <w:rPr>
      <w:shd w:val="clear" w:fill="EEEEEE"/>
    </w:rPr>
  </w:style>
  <w:style w:type="character" w:customStyle="1" w:styleId="25">
    <w:name w:val="hour_pm"/>
    <w:basedOn w:val="12"/>
    <w:qFormat/>
    <w:uiPriority w:val="0"/>
  </w:style>
  <w:style w:type="character" w:customStyle="1" w:styleId="26">
    <w:name w:val="hour_am"/>
    <w:basedOn w:val="12"/>
    <w:qFormat/>
    <w:uiPriority w:val="0"/>
  </w:style>
  <w:style w:type="character" w:customStyle="1" w:styleId="2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2020-09-15T00:29:00Z</dcterms:created>
  <dc:creator>lenovo</dc:creator>
  <cp:lastModifiedBy>sjt</cp:lastModifiedBy>
  <cp:lastPrinted>2021-04-07T06:44:00Z</cp:lastPrinted>
  <dcterms:modified xsi:type="dcterms:W3CDTF">2023-08-30T10:55:49Z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A39C011D82B094EEB3F1EB64695688EA</vt:lpwstr>
  </property>
</Properties>
</file>