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第6期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日</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rPr>
          <w:rFonts w:hint="eastAsia" w:ascii="Times New Roman" w:hAnsi="Times New Roman"/>
          <w:color w:val="FF0000"/>
        </w:rPr>
      </w:pPr>
      <w:bookmarkStart w:id="0" w:name="_GoBack"/>
      <w:bookmarkEnd w:id="0"/>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Times New Roman" w:hAnsi="Times New Roman"/>
          <w:color w:val="FF0000"/>
          <w:sz w:val="32"/>
          <w:szCs w:val="32"/>
        </w:rPr>
      </w:pPr>
    </w:p>
    <w:p>
      <w:pPr>
        <w:keepNext w:val="0"/>
        <w:keepLines w:val="0"/>
        <w:pageBreakBefore w:val="0"/>
        <w:kinsoku/>
        <w:wordWrap/>
        <w:overflowPunct/>
        <w:topLinePunct w:val="0"/>
        <w:autoSpaceDE/>
        <w:autoSpaceDN/>
        <w:bidi w:val="0"/>
        <w:snapToGrid/>
        <w:spacing w:line="570" w:lineRule="exact"/>
        <w:jc w:val="center"/>
        <w:textAlignment w:val="auto"/>
        <w:rPr>
          <w:rFonts w:ascii="仿宋_GB2312" w:eastAsia="仿宋_GB2312"/>
          <w:sz w:val="32"/>
          <w:szCs w:val="32"/>
        </w:rPr>
      </w:pPr>
      <w:r>
        <w:rPr>
          <w:rFonts w:hint="eastAsia" w:ascii="长城小标宋体" w:hAnsi="长城小标宋体" w:eastAsia="长城小标宋体" w:cs="长城小标宋体"/>
          <w:sz w:val="44"/>
          <w:szCs w:val="44"/>
          <w:lang w:val="en-US" w:eastAsia="zh-CN"/>
        </w:rPr>
        <w:t>创新审计发展理念  提高经济监督效能</w:t>
      </w:r>
      <w:r>
        <w:rPr>
          <w:rFonts w:hint="eastAsia" w:ascii="长城小标宋体" w:hAnsi="长城小标宋体" w:eastAsia="长城小标宋体" w:cs="长城小标宋体"/>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河南省人民医院（以下简称“省医”）</w:t>
      </w:r>
      <w:r>
        <w:rPr>
          <w:rFonts w:hint="default" w:ascii="Times New Roman" w:hAnsi="Times New Roman" w:eastAsia="仿宋_GB2312" w:cs="Times New Roman"/>
          <w:color w:val="000000" w:themeColor="text1"/>
          <w:sz w:val="32"/>
          <w:szCs w:val="32"/>
          <w14:textFill>
            <w14:solidFill>
              <w14:schemeClr w14:val="tx1"/>
            </w14:solidFill>
          </w14:textFill>
        </w:rPr>
        <w:t>内审工作始终紧紧围绕医院的中心任务，突出重点领域、重要部门、重点岗位、重大项目的审计监督，同时创新审计监督新理念、新举措，改进审计方式，推进审计范围全覆盖，加大审计监督力度，追踪审计整改成效。在提高经济效益、改进医院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14:textFill>
            <w14:solidFill>
              <w14:schemeClr w14:val="tx1"/>
            </w14:solidFill>
          </w14:textFill>
        </w:rPr>
        <w:t>方面发挥了</w:t>
      </w:r>
      <w:r>
        <w:rPr>
          <w:rFonts w:hint="default" w:ascii="Times New Roman" w:hAnsi="Times New Roman" w:eastAsia="仿宋_GB2312" w:cs="Times New Roman"/>
          <w:sz w:val="32"/>
          <w:szCs w:val="32"/>
        </w:rPr>
        <w:t>积极的作用。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、积极</w:t>
      </w:r>
      <w:r>
        <w:rPr>
          <w:rFonts w:hint="eastAsia" w:ascii="黑体" w:hAnsi="黑体" w:eastAsia="黑体" w:cs="黑体"/>
          <w:b w:val="0"/>
          <w:bCs w:val="0"/>
          <w:sz w:val="32"/>
          <w:szCs w:val="32"/>
          <w:lang w:eastAsia="zh-CN"/>
        </w:rPr>
        <w:t>创新审计方式，</w:t>
      </w:r>
      <w:r>
        <w:rPr>
          <w:rFonts w:hint="eastAsia" w:ascii="黑体" w:hAnsi="黑体" w:eastAsia="黑体" w:cs="黑体"/>
          <w:b w:val="0"/>
          <w:bCs w:val="0"/>
          <w:sz w:val="32"/>
          <w:szCs w:val="32"/>
          <w:lang w:val="en-US" w:eastAsia="zh-CN"/>
        </w:rPr>
        <w:t>不断</w:t>
      </w:r>
      <w:r>
        <w:rPr>
          <w:rFonts w:hint="eastAsia" w:ascii="黑体" w:hAnsi="黑体" w:eastAsia="黑体" w:cs="黑体"/>
          <w:b w:val="0"/>
          <w:bCs w:val="0"/>
          <w:sz w:val="32"/>
          <w:szCs w:val="32"/>
          <w:lang w:eastAsia="zh-CN"/>
        </w:rPr>
        <w:t>提升审计效能</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积极探索“纪审协同”审计工作方式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通过</w:t>
      </w:r>
      <w:r>
        <w:rPr>
          <w:rFonts w:hint="default" w:ascii="Times New Roman" w:hAnsi="Times New Roman" w:eastAsia="仿宋_GB2312" w:cs="Times New Roman"/>
          <w:b w:val="0"/>
          <w:bCs w:val="0"/>
          <w:color w:val="000000"/>
          <w:sz w:val="32"/>
          <w:szCs w:val="32"/>
        </w:rPr>
        <w:t>整合</w:t>
      </w:r>
      <w:r>
        <w:rPr>
          <w:rFonts w:hint="default" w:ascii="Times New Roman" w:hAnsi="Times New Roman" w:eastAsia="仿宋_GB2312" w:cs="Times New Roman"/>
          <w:b w:val="0"/>
          <w:bCs w:val="0"/>
          <w:color w:val="000000"/>
          <w:sz w:val="32"/>
          <w:szCs w:val="32"/>
          <w:lang w:val="en-US" w:eastAsia="zh-CN"/>
        </w:rPr>
        <w:t>内部</w:t>
      </w:r>
      <w:r>
        <w:rPr>
          <w:rFonts w:hint="default" w:ascii="Times New Roman" w:hAnsi="Times New Roman" w:eastAsia="仿宋_GB2312" w:cs="Times New Roman"/>
          <w:b w:val="0"/>
          <w:bCs w:val="0"/>
          <w:color w:val="000000"/>
          <w:sz w:val="32"/>
          <w:szCs w:val="32"/>
        </w:rPr>
        <w:t>监督资源，不断提升监督实效，确保</w:t>
      </w:r>
      <w:r>
        <w:rPr>
          <w:rFonts w:hint="default" w:ascii="Times New Roman" w:hAnsi="Times New Roman" w:eastAsia="仿宋_GB2312" w:cs="Times New Roman"/>
          <w:b w:val="0"/>
          <w:bCs w:val="0"/>
          <w:color w:val="000000"/>
          <w:sz w:val="32"/>
          <w:szCs w:val="32"/>
          <w:lang w:val="en-US" w:eastAsia="zh-CN"/>
        </w:rPr>
        <w:t>省医</w:t>
      </w:r>
      <w:r>
        <w:rPr>
          <w:rFonts w:hint="default" w:ascii="Times New Roman" w:hAnsi="Times New Roman" w:eastAsia="仿宋_GB2312" w:cs="Times New Roman"/>
          <w:b w:val="0"/>
          <w:bCs w:val="0"/>
          <w:color w:val="000000"/>
          <w:sz w:val="32"/>
          <w:szCs w:val="32"/>
        </w:rPr>
        <w:t>公权力在正确轨道上运行</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一是省医审计处和省医纪委监察室协同作战</w:t>
      </w:r>
      <w:r>
        <w:rPr>
          <w:rFonts w:hint="default" w:ascii="Times New Roman" w:hAnsi="Times New Roman" w:eastAsia="仿宋_GB2312" w:cs="Times New Roman"/>
          <w:b w:val="0"/>
          <w:bCs w:val="0"/>
          <w:color w:val="000000"/>
          <w:sz w:val="32"/>
          <w:szCs w:val="32"/>
        </w:rPr>
        <w:t>，认真完成感染性疾病科2009年至2019年科研项目经费管理与使用情况专项审计调查</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省医纪委监察室充分利用审计结果助力党风廉政建设和行业作风建设</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lang w:val="en-US" w:eastAsia="zh-CN"/>
        </w:rPr>
        <w:t xml:space="preserve">二是纪审联合成立审计督导组，跟踪督导医院隔离病房改建工程项目。双方信息共享、优势互补，确保审计内容更突出重点，审计整改更有力度。15天工期昼夜不停，督导组向省医院领导共提交日督导报告20份，圆满完成督导保障任务。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b w:val="0"/>
          <w:bCs w:val="0"/>
          <w:sz w:val="32"/>
          <w:szCs w:val="32"/>
          <w:lang w:val="en-US" w:eastAsia="zh-CN"/>
        </w:rPr>
        <w:t>以经济责任审计为抓手，强化党风廉政建设。</w:t>
      </w:r>
      <w:r>
        <w:rPr>
          <w:rFonts w:hint="default" w:ascii="Times New Roman" w:hAnsi="Times New Roman" w:eastAsia="仿宋_GB2312" w:cs="Times New Roman"/>
          <w:b w:val="0"/>
          <w:bCs w:val="0"/>
          <w:sz w:val="32"/>
          <w:szCs w:val="32"/>
        </w:rPr>
        <w:t>根</w:t>
      </w:r>
      <w:r>
        <w:rPr>
          <w:rFonts w:hint="default" w:ascii="Times New Roman" w:hAnsi="Times New Roman" w:eastAsia="仿宋_GB2312" w:cs="Times New Roman"/>
          <w:sz w:val="32"/>
          <w:szCs w:val="32"/>
        </w:rPr>
        <w:t>据《党政主要领导干部和国有企事业单位主要领导人员经济责任审计规定》（中办发[2019]45号）和《河南省人民医院中层领导干部经济责任审计实施办法》等相关规定，</w:t>
      </w:r>
      <w:r>
        <w:rPr>
          <w:rFonts w:hint="default" w:ascii="Times New Roman" w:hAnsi="Times New Roman" w:eastAsia="仿宋" w:cs="Times New Roman"/>
          <w:sz w:val="32"/>
          <w:szCs w:val="32"/>
        </w:rPr>
        <w:t>依照医院经济责任审计工作领导小组工作安排和相关制度规定，开展</w:t>
      </w:r>
      <w:r>
        <w:rPr>
          <w:rFonts w:hint="default" w:ascii="Times New Roman" w:hAnsi="Times New Roman" w:eastAsia="仿宋" w:cs="Times New Roman"/>
          <w:color w:val="000000"/>
          <w:sz w:val="32"/>
          <w:szCs w:val="32"/>
        </w:rPr>
        <w:t>对河南省人民医院所属中层领导干部经济责任审计评价工作，重点开展对医院重点部门、关键岗位负责人的任中审计和纳入监督范围的中层领导干部的离任</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离职</w:t>
      </w:r>
      <w:r>
        <w:rPr>
          <w:rFonts w:hint="default" w:ascii="Times New Roman" w:hAnsi="Times New Roman" w:eastAsia="仿宋" w:cs="Times New Roman"/>
          <w:color w:val="000000"/>
          <w:sz w:val="32"/>
          <w:szCs w:val="32"/>
        </w:rPr>
        <w:t>审计，进一步加强党组织对医院内部审计工作的统一领导，强化对权力运行的制约和监督，促进医院中层干部履职尽责、担当作为。</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二、优化合同监督，实现线上、线下“闭环式”管理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0"/>
          <w:lang w:val="en-US" w:eastAsia="zh-CN"/>
        </w:rPr>
      </w:pPr>
      <w:r>
        <w:rPr>
          <w:rFonts w:hint="default" w:ascii="Times New Roman" w:hAnsi="Times New Roman" w:eastAsia="仿宋_GB2312" w:cs="Times New Roman"/>
          <w:kern w:val="0"/>
          <w:sz w:val="32"/>
          <w:szCs w:val="30"/>
          <w:lang w:val="en-US" w:eastAsia="zh-CN"/>
        </w:rPr>
        <w:t>按照“归口管理、部门负责、审计监督”的管理体制，持续坚持对合同签订、合同履行情况进行审计，内部审计人员积极协助归口管理部门依法签订合同，对需签订合同的业务范围及合同条款进行监督；合同审签实行线上审核和线下会签制度，坚持重大经济合同须送达法律顾问审核并出具“合同审核法律顾问意见书”，维护经济合同的严肃性，关注合同执行的遵从性，合同变更或解除的合理性、合规性，合同违约处理的责任性，合同纠纷处理的及时性、合法性等；同时规范合同档案管理，详细登记合同基本情况，强化合同过程管理，做好合同信息的安全保密工作，有效规避经济风险，维护医院合法权益。</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、建立多重制约新机制，强化对第三方监督管理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lang w:val="en-US" w:eastAsia="zh-CN"/>
        </w:rPr>
      </w:pPr>
      <w:r>
        <w:rPr>
          <w:rFonts w:hint="default" w:ascii="Times New Roman" w:hAnsi="Times New Roman" w:eastAsia="仿宋_GB2312" w:cs="Times New Roman"/>
          <w:kern w:val="0"/>
          <w:sz w:val="32"/>
          <w:szCs w:val="30"/>
          <w:lang w:val="en-US" w:eastAsia="zh-CN"/>
        </w:rPr>
        <w:t>省医引入社会审计力量，优化审计资源配置，充实内部审计力量，在借用第三方审计资源的同时，创新多重制约新机制，强化对第三方审计咨询公司的监督和管理。一是严格引入机制，创造第三方竞争环境。采取</w:t>
      </w:r>
      <w:r>
        <w:rPr>
          <w:rFonts w:hint="default" w:ascii="Times New Roman" w:hAnsi="Times New Roman" w:eastAsia="仿宋_GB2312" w:cs="Times New Roman"/>
          <w:kern w:val="0"/>
          <w:sz w:val="32"/>
          <w:szCs w:val="30"/>
        </w:rPr>
        <w:t>公开招标、邀请招标、询价、定向谈判等</w:t>
      </w:r>
      <w:r>
        <w:rPr>
          <w:rFonts w:hint="default" w:ascii="Times New Roman" w:hAnsi="Times New Roman" w:eastAsia="仿宋_GB2312" w:cs="Times New Roman"/>
          <w:kern w:val="0"/>
          <w:sz w:val="32"/>
          <w:szCs w:val="30"/>
          <w:lang w:val="en-US" w:eastAsia="zh-CN"/>
        </w:rPr>
        <w:t>法定</w:t>
      </w:r>
      <w:r>
        <w:rPr>
          <w:rFonts w:hint="default" w:ascii="Times New Roman" w:hAnsi="Times New Roman" w:eastAsia="仿宋_GB2312" w:cs="Times New Roman"/>
          <w:kern w:val="0"/>
          <w:sz w:val="32"/>
          <w:szCs w:val="30"/>
        </w:rPr>
        <w:t>形式按照一定的标准，遴选一定数量的中介机构，建立</w:t>
      </w:r>
      <w:r>
        <w:rPr>
          <w:rFonts w:hint="default" w:ascii="Times New Roman" w:hAnsi="Times New Roman" w:eastAsia="仿宋_GB2312" w:cs="Times New Roman"/>
          <w:kern w:val="0"/>
          <w:sz w:val="32"/>
          <w:szCs w:val="30"/>
          <w:lang w:val="en-US" w:eastAsia="zh-CN"/>
        </w:rPr>
        <w:t>第三方</w:t>
      </w:r>
      <w:r>
        <w:rPr>
          <w:rFonts w:hint="default" w:ascii="Times New Roman" w:hAnsi="Times New Roman" w:eastAsia="仿宋_GB2312" w:cs="Times New Roman"/>
          <w:kern w:val="0"/>
          <w:sz w:val="32"/>
          <w:szCs w:val="30"/>
        </w:rPr>
        <w:t>中介机构备选库</w:t>
      </w:r>
      <w:r>
        <w:rPr>
          <w:rFonts w:hint="default" w:ascii="Times New Roman" w:hAnsi="Times New Roman" w:eastAsia="仿宋_GB2312" w:cs="Times New Roman"/>
          <w:kern w:val="0"/>
          <w:sz w:val="32"/>
          <w:szCs w:val="30"/>
          <w:lang w:eastAsia="zh-CN"/>
        </w:rPr>
        <w:t>。</w:t>
      </w:r>
      <w:r>
        <w:rPr>
          <w:rFonts w:hint="default" w:ascii="Times New Roman" w:hAnsi="Times New Roman" w:eastAsia="仿宋_GB2312" w:cs="Times New Roman"/>
          <w:kern w:val="0"/>
          <w:sz w:val="32"/>
          <w:szCs w:val="30"/>
          <w:lang w:val="en-US" w:eastAsia="zh-CN"/>
        </w:rPr>
        <w:t>二是加强审计项目外包质量控制。建立审计项目质量控制评价小组，多级审核评价，</w:t>
      </w:r>
      <w:r>
        <w:rPr>
          <w:rFonts w:hint="default" w:ascii="Times New Roman" w:hAnsi="Times New Roman" w:eastAsia="仿宋_GB2312" w:cs="Times New Roman"/>
          <w:kern w:val="0"/>
          <w:sz w:val="32"/>
          <w:szCs w:val="30"/>
        </w:rPr>
        <w:t>定期或不定期听取中介机构工作汇报、询问了解审计项目实施情况、帮助解决工作中遇到的问题等，确保中介机构业务实施过程顺利</w:t>
      </w:r>
      <w:r>
        <w:rPr>
          <w:rFonts w:hint="default" w:ascii="Times New Roman" w:hAnsi="Times New Roman" w:eastAsia="仿宋_GB2312" w:cs="Times New Roman"/>
          <w:kern w:val="0"/>
          <w:sz w:val="32"/>
          <w:szCs w:val="30"/>
          <w:lang w:val="en-US" w:eastAsia="zh-CN"/>
        </w:rPr>
        <w:t>进行，对中介机构工作质量认真审核把控。根据重要性原则，采取抽查方式对部分审计项目启动现场监督、重新审核等程序，对于疑问性较大的审计结果，省医创新实行“同审互查”工作机制，匿名选取独立第三方审计咨询公司对原第三方结果进行再审核、再认定。三是重视对第三方的评价及运用。省医内审部门</w:t>
      </w:r>
      <w:r>
        <w:rPr>
          <w:rFonts w:hint="default" w:ascii="Times New Roman" w:hAnsi="Times New Roman" w:eastAsia="仿宋_GB2312" w:cs="Times New Roman"/>
          <w:kern w:val="0"/>
          <w:sz w:val="32"/>
          <w:szCs w:val="30"/>
        </w:rPr>
        <w:t>采用定性、定量</w:t>
      </w:r>
      <w:r>
        <w:rPr>
          <w:rFonts w:hint="default" w:ascii="Times New Roman" w:hAnsi="Times New Roman" w:eastAsia="仿宋_GB2312" w:cs="Times New Roman"/>
          <w:kern w:val="0"/>
          <w:sz w:val="32"/>
          <w:szCs w:val="30"/>
          <w:lang w:val="en-US" w:eastAsia="zh-CN"/>
        </w:rPr>
        <w:t>或</w:t>
      </w:r>
      <w:r>
        <w:rPr>
          <w:rFonts w:hint="default" w:ascii="Times New Roman" w:hAnsi="Times New Roman" w:eastAsia="仿宋_GB2312" w:cs="Times New Roman"/>
          <w:kern w:val="0"/>
          <w:sz w:val="32"/>
          <w:szCs w:val="30"/>
        </w:rPr>
        <w:t>定性定量相结合的方式对中介机构的工作质量进行评价。</w:t>
      </w:r>
      <w:r>
        <w:rPr>
          <w:rFonts w:hint="default" w:ascii="Times New Roman" w:hAnsi="Times New Roman" w:eastAsia="仿宋_GB2312" w:cs="Times New Roman"/>
          <w:kern w:val="0"/>
          <w:sz w:val="32"/>
          <w:szCs w:val="30"/>
          <w:lang w:val="en-US" w:eastAsia="zh-CN"/>
        </w:rPr>
        <w:t>同时将</w:t>
      </w:r>
      <w:r>
        <w:rPr>
          <w:rFonts w:hint="default" w:ascii="Times New Roman" w:hAnsi="Times New Roman" w:eastAsia="仿宋_GB2312" w:cs="Times New Roman"/>
          <w:kern w:val="0"/>
          <w:sz w:val="32"/>
          <w:szCs w:val="30"/>
        </w:rPr>
        <w:t>对中介机构工作质量评价结果，作为建立中介机构备选库、选择和确定中介机构的重要参考。</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、实施“双报告”制度，助推发现问题整改到位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自2017年以来，省医内审部门以提升审计成果质量和督促审计发现问题整改到位为目标，贯彻实施“一审双报告”制度，每项审计出具《审计报告》和《审计发现问题整改评估报告》分类汇总发现问题，提出合理化审计建议，并上报党委会或院长办公会进行公开讨论，根据研究决定逐条逐项抓好落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同时，建立《审计发现问题整改台账》，实行销项管理，向被审计部门下发审计整改督促函，明确整改责任部门和整改时限，</w:t>
      </w:r>
      <w:r>
        <w:rPr>
          <w:rFonts w:hint="default" w:ascii="Times New Roman" w:hAnsi="Times New Roman" w:eastAsia="仿宋" w:cs="Times New Roman"/>
          <w:color w:val="000000"/>
          <w:sz w:val="32"/>
          <w:szCs w:val="32"/>
          <w:lang w:bidi="ar"/>
        </w:rPr>
        <w:t>跟踪整改进度，加强结果运用</w:t>
      </w:r>
      <w:r>
        <w:rPr>
          <w:rFonts w:hint="default" w:ascii="Times New Roman" w:hAnsi="Times New Roman" w:eastAsia="仿宋" w:cs="Times New Roman"/>
          <w:color w:val="000000"/>
          <w:sz w:val="32"/>
          <w:szCs w:val="32"/>
          <w:lang w:eastAsia="zh-CN" w:bidi="ar"/>
        </w:rPr>
        <w:t>；</w:t>
      </w:r>
      <w:r>
        <w:rPr>
          <w:rFonts w:hint="default" w:ascii="Times New Roman" w:hAnsi="Times New Roman" w:eastAsia="仿宋_GB2312" w:cs="Times New Roman"/>
          <w:kern w:val="2"/>
          <w:sz w:val="32"/>
          <w:szCs w:val="32"/>
          <w:lang w:val="en-US" w:eastAsia="zh-CN" w:bidi="ar-SA"/>
        </w:rPr>
        <w:t>认真审核被审计部门提供的整改回复及支撑材料，出具《审计发现问题整改结果评估报告》，在报告中对问题整改情况分类梳理，统计整体审计整改率，同时逐项列出审计问题及整改结果和进度，根据整改结果做好建章立制、跟踪监督、持续问效和“回头看”工作，切实将审计整改落实到位。</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、开发“智慧审计”系统，落实</w:t>
      </w:r>
      <w:r>
        <w:rPr>
          <w:rFonts w:hint="default" w:ascii="Times New Roman" w:hAnsi="Times New Roman" w:eastAsia="黑体" w:cs="Times New Roman"/>
          <w:b w:val="0"/>
          <w:bCs w:val="0"/>
          <w:sz w:val="32"/>
          <w:szCs w:val="32"/>
          <w:lang w:val="en-US" w:eastAsia="zh-CN"/>
        </w:rPr>
        <w:t>“科技强审”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lang w:val="en-US" w:eastAsia="zh-CN" w:bidi="ar-SA"/>
        </w:rPr>
        <w:t>坚持向大数据要资源，向信息化要效率，在合同审核信息化工作不断完善同时，逐步推行财务、工程、经责等业务审计及审计管理工作信息化进程。2021年3月开始推进“智慧审计”系统建设，经过前期充分调研、学习先进经验，明确审计信息化方向和目标，该系统共规划审计数据管理、审计作业管理、审计成果及整改管理、审计模型工厂、审计BI、大数据审计智能组件等13大系统及63项子系统，</w:t>
      </w:r>
      <w:r>
        <w:rPr>
          <w:rFonts w:hint="default" w:ascii="Times New Roman" w:hAnsi="Times New Roman" w:eastAsia="仿宋" w:cs="Times New Roman"/>
          <w:color w:val="000000"/>
          <w:kern w:val="0"/>
          <w:sz w:val="32"/>
          <w:szCs w:val="32"/>
          <w:lang w:val="en-US" w:eastAsia="zh-CN"/>
        </w:rPr>
        <w:t>截至</w:t>
      </w:r>
      <w:r>
        <w:rPr>
          <w:rFonts w:hint="default" w:ascii="Times New Roman" w:hAnsi="Times New Roman" w:eastAsia="仿宋" w:cs="Times New Roman"/>
          <w:color w:val="000000"/>
          <w:kern w:val="0"/>
          <w:sz w:val="32"/>
          <w:szCs w:val="32"/>
          <w:highlight w:val="none"/>
        </w:rPr>
        <w:t>目前</w:t>
      </w:r>
      <w:r>
        <w:rPr>
          <w:rFonts w:hint="default" w:ascii="Times New Roman" w:hAnsi="Times New Roman" w:eastAsia="仿宋" w:cs="Times New Roman"/>
          <w:color w:val="000000"/>
          <w:kern w:val="0"/>
          <w:sz w:val="32"/>
          <w:szCs w:val="32"/>
        </w:rPr>
        <w:t>，已完成9大系统功能设计及394项审计模型建设，其中财务收支审计模型89项，经济责任审计模型112项，政府采购审计模型46项，工程审计模型76项，专项审计模型42项，内部控制审计模型29项。</w:t>
      </w:r>
      <w:r>
        <w:rPr>
          <w:rFonts w:hint="default" w:ascii="Times New Roman" w:hAnsi="Times New Roman" w:eastAsia="仿宋" w:cs="Times New Roman"/>
          <w:b w:val="0"/>
          <w:bCs w:val="0"/>
          <w:color w:val="000000"/>
          <w:kern w:val="0"/>
          <w:sz w:val="32"/>
          <w:szCs w:val="32"/>
        </w:rPr>
        <w:t>系统建成后可</w:t>
      </w:r>
      <w:r>
        <w:rPr>
          <w:rFonts w:hint="default" w:ascii="Times New Roman" w:hAnsi="Times New Roman" w:eastAsia="仿宋" w:cs="Times New Roman"/>
          <w:color w:val="000000"/>
          <w:kern w:val="0"/>
          <w:sz w:val="32"/>
          <w:szCs w:val="32"/>
        </w:rPr>
        <w:t>实现审计数据无缝对接医院信息系统、广联达GBQ文件直连、审计计划至审计整改全流程闭环管理、审计档案信息化管理、法律法规制度库关联审计成果、大数据审计分析等内部审计迫切需要的功能，有效解决审计数据难获取、审计档案难管理、审计作业难管控、定性依据难整理、审计分析不到位等问题</w:t>
      </w:r>
      <w:r>
        <w:rPr>
          <w:rFonts w:hint="default" w:ascii="Times New Roman" w:hAnsi="Times New Roman" w:eastAsia="仿宋" w:cs="Times New Roman"/>
          <w:color w:val="000000"/>
          <w:kern w:val="0"/>
          <w:sz w:val="32"/>
          <w:szCs w:val="32"/>
          <w:highlight w:val="none"/>
        </w:rPr>
        <w:t>,</w:t>
      </w:r>
      <w:r>
        <w:rPr>
          <w:rFonts w:hint="default" w:ascii="Times New Roman" w:hAnsi="Times New Roman" w:eastAsia="仿宋" w:cs="Times New Roman"/>
          <w:color w:val="000000"/>
          <w:kern w:val="0"/>
          <w:sz w:val="32"/>
          <w:szCs w:val="32"/>
        </w:rPr>
        <w:t>促进传统审计向“融合式”</w:t>
      </w:r>
      <w:r>
        <w:rPr>
          <w:rFonts w:hint="default" w:ascii="Times New Roman" w:hAnsi="Times New Roman" w:eastAsia="仿宋" w:cs="Times New Roman"/>
          <w:color w:val="000000"/>
          <w:kern w:val="0"/>
          <w:sz w:val="32"/>
          <w:szCs w:val="32"/>
          <w:lang w:val="en-US" w:eastAsia="zh-CN"/>
        </w:rPr>
        <w:t>智慧型</w:t>
      </w:r>
      <w:r>
        <w:rPr>
          <w:rFonts w:hint="default" w:ascii="Times New Roman" w:hAnsi="Times New Roman" w:eastAsia="仿宋" w:cs="Times New Roman"/>
          <w:color w:val="000000"/>
          <w:kern w:val="0"/>
          <w:sz w:val="32"/>
          <w:szCs w:val="32"/>
        </w:rPr>
        <w:t>审计方式转变，</w:t>
      </w:r>
      <w:r>
        <w:rPr>
          <w:rFonts w:hint="default" w:ascii="Times New Roman" w:hAnsi="Times New Roman" w:eastAsia="仿宋_GB2312" w:cs="Times New Roman"/>
          <w:sz w:val="32"/>
          <w:szCs w:val="32"/>
        </w:rPr>
        <w:t>发挥内部审计的“卫士”预防作用、“谋士”建言献策作用，</w:t>
      </w:r>
      <w:r>
        <w:rPr>
          <w:rFonts w:hint="default" w:ascii="Times New Roman" w:hAnsi="Times New Roman" w:eastAsia="仿宋_GB2312" w:cs="Times New Roman"/>
          <w:kern w:val="2"/>
          <w:sz w:val="32"/>
          <w:szCs w:val="32"/>
          <w:lang w:val="en-US" w:eastAsia="zh-CN" w:bidi="ar-SA"/>
        </w:rPr>
        <w:t>持续提升医院内审工作信息化水平，为实现审计全覆盖提供技术支持，充分发挥审计在医院监督体系中的重要作用。</w:t>
      </w:r>
      <w:r>
        <w:rPr>
          <w:rFonts w:hint="eastAsia" w:ascii="Times New Roman" w:hAnsi="Times New Roman" w:eastAsia="仿宋_GB2312" w:cs="Times New Roman"/>
          <w:kern w:val="2"/>
          <w:sz w:val="32"/>
          <w:szCs w:val="32"/>
          <w:lang w:val="en-US" w:eastAsia="zh-CN" w:bidi="ar-SA"/>
        </w:rPr>
        <w:t>（起草：省人民医院审计处  审核：高书旺）</w:t>
      </w: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0086EFD"/>
    <w:rsid w:val="00D06290"/>
    <w:rsid w:val="01130823"/>
    <w:rsid w:val="01EF5D4E"/>
    <w:rsid w:val="022A53CB"/>
    <w:rsid w:val="0392490F"/>
    <w:rsid w:val="043C1901"/>
    <w:rsid w:val="04EE0CB9"/>
    <w:rsid w:val="05214BF0"/>
    <w:rsid w:val="05384B9B"/>
    <w:rsid w:val="06004AA9"/>
    <w:rsid w:val="07843B9D"/>
    <w:rsid w:val="0AB216C2"/>
    <w:rsid w:val="0CB7644B"/>
    <w:rsid w:val="0F603276"/>
    <w:rsid w:val="0F603889"/>
    <w:rsid w:val="0FAE14E8"/>
    <w:rsid w:val="115864B6"/>
    <w:rsid w:val="13AB388A"/>
    <w:rsid w:val="15945AD9"/>
    <w:rsid w:val="174F03E1"/>
    <w:rsid w:val="179A02E9"/>
    <w:rsid w:val="182F2302"/>
    <w:rsid w:val="189255A2"/>
    <w:rsid w:val="19425D80"/>
    <w:rsid w:val="195D39C8"/>
    <w:rsid w:val="1A1A7D89"/>
    <w:rsid w:val="1B0948CD"/>
    <w:rsid w:val="1B244357"/>
    <w:rsid w:val="1BFB4B8E"/>
    <w:rsid w:val="1C175EFB"/>
    <w:rsid w:val="1CD540DB"/>
    <w:rsid w:val="1D2B7F00"/>
    <w:rsid w:val="1DF932BF"/>
    <w:rsid w:val="1F88487D"/>
    <w:rsid w:val="1FD43A2F"/>
    <w:rsid w:val="205B5873"/>
    <w:rsid w:val="20A22064"/>
    <w:rsid w:val="20EC021F"/>
    <w:rsid w:val="21E73240"/>
    <w:rsid w:val="24450F0F"/>
    <w:rsid w:val="246427B9"/>
    <w:rsid w:val="24746044"/>
    <w:rsid w:val="277E20E7"/>
    <w:rsid w:val="2BA468F4"/>
    <w:rsid w:val="2BF53085"/>
    <w:rsid w:val="2CB736B3"/>
    <w:rsid w:val="2F5831DD"/>
    <w:rsid w:val="2F9B4040"/>
    <w:rsid w:val="2FC67E0B"/>
    <w:rsid w:val="303372EC"/>
    <w:rsid w:val="31585A7A"/>
    <w:rsid w:val="31AE65ED"/>
    <w:rsid w:val="31DA60DD"/>
    <w:rsid w:val="31EF540D"/>
    <w:rsid w:val="32E201F9"/>
    <w:rsid w:val="34914007"/>
    <w:rsid w:val="34951F16"/>
    <w:rsid w:val="35B503B9"/>
    <w:rsid w:val="374256D9"/>
    <w:rsid w:val="386363D1"/>
    <w:rsid w:val="38B21AB6"/>
    <w:rsid w:val="3A6544DA"/>
    <w:rsid w:val="3A7157BF"/>
    <w:rsid w:val="3CF63331"/>
    <w:rsid w:val="3D5D638F"/>
    <w:rsid w:val="3E444367"/>
    <w:rsid w:val="3EAB25E4"/>
    <w:rsid w:val="40FA23BE"/>
    <w:rsid w:val="427B5A5B"/>
    <w:rsid w:val="427D7A3D"/>
    <w:rsid w:val="43381219"/>
    <w:rsid w:val="44572C84"/>
    <w:rsid w:val="44BC0C36"/>
    <w:rsid w:val="460D15E7"/>
    <w:rsid w:val="4710744F"/>
    <w:rsid w:val="47C11C69"/>
    <w:rsid w:val="47DE1538"/>
    <w:rsid w:val="4B084D7B"/>
    <w:rsid w:val="4BEF6255"/>
    <w:rsid w:val="4BF54D80"/>
    <w:rsid w:val="4C8758D9"/>
    <w:rsid w:val="4D5667F0"/>
    <w:rsid w:val="4D59532D"/>
    <w:rsid w:val="4DBD6162"/>
    <w:rsid w:val="4E380604"/>
    <w:rsid w:val="4EB762A6"/>
    <w:rsid w:val="4EDD5D88"/>
    <w:rsid w:val="4F2277E8"/>
    <w:rsid w:val="4FED0154"/>
    <w:rsid w:val="50033E0F"/>
    <w:rsid w:val="537C49ED"/>
    <w:rsid w:val="538216A2"/>
    <w:rsid w:val="541166E0"/>
    <w:rsid w:val="54F734E4"/>
    <w:rsid w:val="56184811"/>
    <w:rsid w:val="581C7FF2"/>
    <w:rsid w:val="5C7B5C91"/>
    <w:rsid w:val="5E440B00"/>
    <w:rsid w:val="611415DE"/>
    <w:rsid w:val="63F31F23"/>
    <w:rsid w:val="65F849E0"/>
    <w:rsid w:val="661A68A5"/>
    <w:rsid w:val="680540C9"/>
    <w:rsid w:val="68071C65"/>
    <w:rsid w:val="6925447A"/>
    <w:rsid w:val="69B82AA8"/>
    <w:rsid w:val="69BA5214"/>
    <w:rsid w:val="69D6769C"/>
    <w:rsid w:val="6A597255"/>
    <w:rsid w:val="6A643F61"/>
    <w:rsid w:val="6B5F57C6"/>
    <w:rsid w:val="6BE25183"/>
    <w:rsid w:val="6C180985"/>
    <w:rsid w:val="6C8D5C92"/>
    <w:rsid w:val="6E380E19"/>
    <w:rsid w:val="6E383773"/>
    <w:rsid w:val="6F1C4373"/>
    <w:rsid w:val="6F654CAF"/>
    <w:rsid w:val="6FCE7539"/>
    <w:rsid w:val="70233473"/>
    <w:rsid w:val="706A301D"/>
    <w:rsid w:val="715A3D43"/>
    <w:rsid w:val="734218BA"/>
    <w:rsid w:val="740F7AE6"/>
    <w:rsid w:val="766D08CA"/>
    <w:rsid w:val="76DB205F"/>
    <w:rsid w:val="784D167E"/>
    <w:rsid w:val="786931DE"/>
    <w:rsid w:val="78863832"/>
    <w:rsid w:val="7B2C66AC"/>
    <w:rsid w:val="7B342C23"/>
    <w:rsid w:val="7BC44768"/>
    <w:rsid w:val="7BD551D4"/>
    <w:rsid w:val="7BFB1DFA"/>
    <w:rsid w:val="7DE9595A"/>
    <w:rsid w:val="7F6F0CF1"/>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next w:val="6"/>
    <w:qFormat/>
    <w:uiPriority w:val="0"/>
    <w:pPr>
      <w:ind w:right="214"/>
    </w:pPr>
    <w:rPr>
      <w:rFonts w:ascii="仿宋_GB2312" w:eastAsia="仿宋_GB2312"/>
      <w:sz w:val="32"/>
    </w:rPr>
  </w:style>
  <w:style w:type="paragraph" w:customStyle="1" w:styleId="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9">
    <w:name w:val="footnote text"/>
    <w:basedOn w:val="1"/>
    <w:qFormat/>
    <w:uiPriority w:val="0"/>
    <w:pPr>
      <w:snapToGrid w:val="0"/>
      <w:jc w:val="left"/>
    </w:pPr>
    <w:rPr>
      <w:rFonts w:ascii="Calibri" w:hAnsi="Calibri" w:eastAsia="宋体" w:cs="Times New Roman"/>
      <w:sz w:val="18"/>
      <w:szCs w:val="18"/>
    </w:rPr>
  </w:style>
  <w:style w:type="paragraph" w:styleId="10">
    <w:name w:val="Normal (Web)"/>
    <w:basedOn w:val="1"/>
    <w:qFormat/>
    <w:uiPriority w:val="0"/>
    <w:pPr>
      <w:widowControl/>
      <w:jc w:val="left"/>
    </w:pPr>
    <w:rPr>
      <w:rFonts w:ascii="宋体" w:hAnsi="宋体" w:cs="宋体"/>
      <w:kern w:val="0"/>
      <w:sz w:val="18"/>
      <w:szCs w:val="18"/>
    </w:rPr>
  </w:style>
  <w:style w:type="paragraph" w:styleId="11">
    <w:name w:val="Body Text First Indent"/>
    <w:basedOn w:val="5"/>
    <w:qFormat/>
    <w:uiPriority w:val="0"/>
    <w:pPr>
      <w:ind w:firstLine="420" w:firstLineChars="100"/>
    </w:pPr>
  </w:style>
  <w:style w:type="character" w:styleId="14">
    <w:name w:val="Strong"/>
    <w:basedOn w:val="13"/>
    <w:qFormat/>
    <w:uiPriority w:val="0"/>
    <w:rPr>
      <w:rFonts w:ascii="Calibri" w:hAnsi="Calibri" w:eastAsia="宋体" w:cs="Times New Roman"/>
      <w:b/>
      <w:bCs/>
      <w:spacing w:val="0"/>
      <w:w w:val="100"/>
      <w:position w:val="0"/>
      <w:sz w:val="20"/>
      <w:szCs w:val="20"/>
    </w:rPr>
  </w:style>
  <w:style w:type="character" w:styleId="15">
    <w:name w:val="page number"/>
    <w:basedOn w:val="13"/>
    <w:qFormat/>
    <w:uiPriority w:val="0"/>
  </w:style>
  <w:style w:type="paragraph" w:customStyle="1" w:styleId="16">
    <w:name w:val="公文标题"/>
    <w:basedOn w:val="8"/>
    <w:qFormat/>
    <w:uiPriority w:val="0"/>
    <w:pPr>
      <w:adjustRightInd w:val="0"/>
      <w:snapToGrid w:val="0"/>
      <w:spacing w:line="240" w:lineRule="auto"/>
    </w:pPr>
    <w:rPr>
      <w:rFonts w:ascii="方正小标宋简体" w:eastAsia="方正小标宋简体"/>
      <w:b w:val="0"/>
    </w:rPr>
  </w:style>
  <w:style w:type="paragraph" w:customStyle="1" w:styleId="17">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2022-01-06T08:05:00Z</cp:lastPrinted>
  <dcterms:modified xsi:type="dcterms:W3CDTF">2022-03-24T08:42:57Z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7F98BCD4A87E4A6CA86665B92CDA6E0D</vt:lpwstr>
  </property>
</Properties>
</file>