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第15期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23</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bookmarkStart w:id="0" w:name="_GoBack"/>
      <w:bookmarkEnd w:id="0"/>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日</w:t>
      </w:r>
    </w:p>
    <w:p>
      <w:pPr>
        <w:pStyle w:val="8"/>
        <w:keepNext w:val="0"/>
        <w:keepLines w:val="0"/>
        <w:pageBreakBefore w:val="0"/>
        <w:widowControl/>
        <w:suppressLineNumbers w:val="0"/>
        <w:kinsoku/>
        <w:wordWrap/>
        <w:overflowPunct/>
        <w:topLinePunct w:val="0"/>
        <w:autoSpaceDE/>
        <w:autoSpaceDN/>
        <w:bidi w:val="0"/>
        <w:snapToGrid/>
        <w:spacing w:beforeAutospacing="0" w:afterAutospacing="0" w:line="600" w:lineRule="atLeast"/>
        <w:ind w:right="0"/>
        <w:jc w:val="both"/>
        <w:textAlignment w:val="auto"/>
        <w:rPr>
          <w:rFonts w:hint="eastAsia" w:ascii="Times New Roman" w:hAnsi="Times New Roman"/>
          <w:color w:val="FF0000"/>
        </w:rPr>
      </w:pPr>
    </w:p>
    <w:p>
      <w:pPr>
        <w:pStyle w:val="8"/>
        <w:keepNext w:val="0"/>
        <w:keepLines w:val="0"/>
        <w:pageBreakBefore w:val="0"/>
        <w:widowControl/>
        <w:suppressLineNumbers w:val="0"/>
        <w:kinsoku/>
        <w:wordWrap/>
        <w:overflowPunct/>
        <w:topLinePunct w:val="0"/>
        <w:autoSpaceDE/>
        <w:autoSpaceDN/>
        <w:bidi w:val="0"/>
        <w:snapToGrid/>
        <w:spacing w:beforeAutospacing="0" w:afterAutospacing="0" w:line="600" w:lineRule="atLeast"/>
        <w:ind w:right="0" w:firstLine="632" w:firstLineChars="200"/>
        <w:jc w:val="both"/>
        <w:textAlignment w:val="auto"/>
        <w:rPr>
          <w:rFonts w:hint="default" w:ascii="Times New Roman" w:hAnsi="Times New Roman" w:eastAsia="楷体" w:cs="Times New Roman"/>
          <w:w w:val="100"/>
          <w:sz w:val="32"/>
          <w:lang w:val="en-US" w:eastAsia="zh-CN"/>
        </w:rPr>
      </w:pPr>
      <w:r>
        <w:rPr>
          <w:rFonts w:hint="default" w:ascii="Times New Roman" w:hAnsi="Times New Roman" w:eastAsia="楷体" w:cs="Times New Roman"/>
          <w:w w:val="100"/>
          <w:sz w:val="32"/>
          <w:lang w:val="en-US" w:eastAsia="zh-CN"/>
        </w:rPr>
        <w:t>按：近</w:t>
      </w:r>
      <w:r>
        <w:rPr>
          <w:rFonts w:hint="eastAsia" w:ascii="Times New Roman" w:hAnsi="Times New Roman" w:eastAsia="楷体" w:cs="Times New Roman"/>
          <w:w w:val="100"/>
          <w:sz w:val="32"/>
          <w:lang w:val="en-US" w:eastAsia="zh-CN"/>
        </w:rPr>
        <w:t>期</w:t>
      </w:r>
      <w:r>
        <w:rPr>
          <w:rFonts w:hint="default" w:ascii="Times New Roman" w:hAnsi="Times New Roman" w:eastAsia="楷体" w:cs="Times New Roman"/>
          <w:w w:val="100"/>
          <w:sz w:val="32"/>
          <w:lang w:val="en-US" w:eastAsia="zh-CN"/>
        </w:rPr>
        <w:t>，河南省审计厅</w:t>
      </w:r>
      <w:r>
        <w:rPr>
          <w:rFonts w:hint="eastAsia" w:ascii="Times New Roman" w:hAnsi="Times New Roman" w:eastAsia="楷体" w:cs="Times New Roman"/>
          <w:w w:val="100"/>
          <w:sz w:val="32"/>
          <w:lang w:val="en-US" w:eastAsia="zh-CN"/>
        </w:rPr>
        <w:t>举办了2021年全省内部审计工作交流培训班，12家内审单位在会上作了经验交流。为</w:t>
      </w:r>
      <w:r>
        <w:rPr>
          <w:rFonts w:hint="default" w:ascii="Times New Roman" w:hAnsi="Times New Roman" w:eastAsia="楷体" w:cs="Times New Roman"/>
          <w:w w:val="100"/>
          <w:sz w:val="32"/>
          <w:lang w:val="en-US" w:eastAsia="zh-CN"/>
        </w:rPr>
        <w:t>进一步</w:t>
      </w:r>
      <w:r>
        <w:rPr>
          <w:rFonts w:hint="eastAsia" w:ascii="Times New Roman" w:hAnsi="Times New Roman" w:eastAsia="楷体" w:cs="Times New Roman"/>
          <w:w w:val="100"/>
          <w:sz w:val="32"/>
          <w:lang w:val="en-US" w:eastAsia="zh-CN"/>
        </w:rPr>
        <w:t>提升我省内部审计工作水平和质量，现将这些单位</w:t>
      </w:r>
      <w:r>
        <w:rPr>
          <w:rFonts w:hint="default" w:ascii="Times New Roman" w:hAnsi="Times New Roman" w:eastAsia="楷体" w:cs="Times New Roman"/>
          <w:w w:val="100"/>
          <w:sz w:val="32"/>
          <w:lang w:val="en-US" w:eastAsia="zh-CN"/>
        </w:rPr>
        <w:t>的经验做法予以</w:t>
      </w:r>
      <w:r>
        <w:rPr>
          <w:rFonts w:hint="eastAsia" w:ascii="Times New Roman" w:hAnsi="Times New Roman" w:eastAsia="楷体" w:cs="Times New Roman"/>
          <w:w w:val="100"/>
          <w:sz w:val="32"/>
          <w:lang w:val="en-US" w:eastAsia="zh-CN"/>
        </w:rPr>
        <w:t>印</w:t>
      </w:r>
      <w:r>
        <w:rPr>
          <w:rFonts w:hint="default" w:ascii="Times New Roman" w:hAnsi="Times New Roman" w:eastAsia="楷体" w:cs="Times New Roman"/>
          <w:w w:val="100"/>
          <w:sz w:val="32"/>
          <w:lang w:val="en-US" w:eastAsia="zh-CN"/>
        </w:rPr>
        <w:t>发，供大家借鉴</w:t>
      </w:r>
      <w:r>
        <w:rPr>
          <w:rFonts w:hint="eastAsia" w:ascii="Times New Roman" w:hAnsi="Times New Roman" w:eastAsia="楷体" w:cs="Times New Roman"/>
          <w:w w:val="100"/>
          <w:sz w:val="32"/>
          <w:lang w:val="en-US" w:eastAsia="zh-CN"/>
        </w:rPr>
        <w:t>参考</w:t>
      </w:r>
      <w:r>
        <w:rPr>
          <w:rFonts w:hint="default" w:ascii="Times New Roman" w:hAnsi="Times New Roman" w:eastAsia="楷体" w:cs="Times New Roman"/>
          <w:w w:val="100"/>
          <w:sz w:val="32"/>
          <w:lang w:val="en-US" w:eastAsia="zh-CN"/>
        </w:rPr>
        <w:t>。</w:t>
      </w:r>
    </w:p>
    <w:p>
      <w:pPr>
        <w:pStyle w:val="8"/>
        <w:keepNext w:val="0"/>
        <w:keepLines w:val="0"/>
        <w:pageBreakBefore w:val="0"/>
        <w:widowControl/>
        <w:suppressLineNumbers w:val="0"/>
        <w:kinsoku/>
        <w:wordWrap/>
        <w:overflowPunct/>
        <w:topLinePunct w:val="0"/>
        <w:autoSpaceDE/>
        <w:autoSpaceDN/>
        <w:bidi w:val="0"/>
        <w:snapToGrid/>
        <w:spacing w:beforeAutospacing="0" w:afterAutospacing="0" w:line="600" w:lineRule="atLeast"/>
        <w:ind w:right="0" w:firstLine="948" w:firstLineChars="300"/>
        <w:jc w:val="both"/>
        <w:textAlignment w:val="auto"/>
        <w:rPr>
          <w:rFonts w:hint="eastAsia" w:ascii="Times New Roman" w:hAnsi="Times New Roman" w:eastAsia="楷体" w:cs="Times New Roman"/>
          <w:w w:val="100"/>
          <w:sz w:val="32"/>
          <w:lang w:val="en-US" w:eastAsia="zh-CN"/>
        </w:rPr>
      </w:pPr>
      <w:r>
        <w:rPr>
          <w:rFonts w:hint="eastAsia" w:ascii="Times New Roman" w:hAnsi="Times New Roman" w:eastAsia="楷体" w:cs="Times New Roman"/>
          <w:w w:val="100"/>
          <w:sz w:val="32"/>
          <w:lang w:val="en-US" w:eastAsia="zh-CN"/>
        </w:rPr>
        <w:t xml:space="preserve">                                                 </w:t>
      </w:r>
    </w:p>
    <w:p>
      <w:pPr>
        <w:rPr>
          <w:rFonts w:hint="eastAsia" w:ascii="长城小标宋体" w:hAnsi="长城小标宋体" w:eastAsia="长城小标宋体" w:cs="长城小标宋体"/>
          <w:sz w:val="44"/>
          <w:szCs w:val="44"/>
        </w:rPr>
      </w:pP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树立新理念 把握新定位</w:t>
      </w:r>
    </w:p>
    <w:p>
      <w:pPr>
        <w:pStyle w:val="3"/>
        <w:shd w:val="clear" w:color="auto" w:fill="FFFFFF"/>
        <w:spacing w:before="0" w:beforeAutospacing="0" w:after="0" w:afterAutospacing="0"/>
        <w:jc w:val="center"/>
        <w:textAlignment w:val="top"/>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推动学校</w:t>
      </w:r>
      <w:r>
        <w:rPr>
          <w:rFonts w:hint="eastAsia" w:ascii="长城小标宋体" w:hAnsi="长城小标宋体" w:eastAsia="长城小标宋体" w:cs="长城小标宋体"/>
          <w:b w:val="0"/>
          <w:bCs w:val="0"/>
          <w:sz w:val="44"/>
          <w:szCs w:val="44"/>
          <w:lang w:eastAsia="zh-CN"/>
        </w:rPr>
        <w:t>内部审计</w:t>
      </w:r>
      <w:r>
        <w:rPr>
          <w:rFonts w:hint="eastAsia" w:ascii="长城小标宋体" w:hAnsi="长城小标宋体" w:eastAsia="长城小标宋体" w:cs="长城小标宋体"/>
          <w:b w:val="0"/>
          <w:bCs w:val="0"/>
          <w:sz w:val="44"/>
          <w:szCs w:val="44"/>
        </w:rPr>
        <w:t>工作高质量发展</w:t>
      </w:r>
    </w:p>
    <w:p>
      <w:pPr>
        <w:ind w:firstLine="645"/>
        <w:jc w:val="both"/>
        <w:rPr>
          <w:rFonts w:hint="eastAsia" w:ascii="仿宋_GB2312" w:hAnsi="仿宋" w:eastAsia="仿宋_GB2312" w:cs="仿宋"/>
          <w:sz w:val="32"/>
          <w:szCs w:val="32"/>
        </w:rPr>
      </w:pPr>
    </w:p>
    <w:p>
      <w:pPr>
        <w:ind w:firstLine="645"/>
        <w:jc w:val="both"/>
        <w:rPr>
          <w:rFonts w:hint="default" w:ascii="Times New Roman" w:hAnsi="Times New Roman" w:eastAsia="仿宋_GB2312" w:cs="Times New Roman"/>
          <w:sz w:val="32"/>
          <w:szCs w:val="32"/>
        </w:rPr>
      </w:pPr>
      <w:r>
        <w:rPr>
          <w:rFonts w:hint="eastAsia" w:ascii="仿宋_GB2312" w:hAnsi="仿宋" w:eastAsia="仿宋_GB2312" w:cs="仿宋"/>
          <w:sz w:val="32"/>
          <w:szCs w:val="32"/>
        </w:rPr>
        <w:t>河</w:t>
      </w:r>
      <w:r>
        <w:rPr>
          <w:rFonts w:hint="default" w:ascii="Times New Roman" w:hAnsi="Times New Roman" w:eastAsia="仿宋_GB2312" w:cs="Times New Roman"/>
          <w:sz w:val="32"/>
          <w:szCs w:val="32"/>
        </w:rPr>
        <w:t>南中医药大学审计处在上级主管部门的指导和帮助下，在学校党委、校行政的坚强领导下，深入贯彻落实习近平总书记关于审计工作的重要指示精神，准确把握内部审计工作的职责定位，不断拓展内部审计工作的广度和深度，通过强化审计监督推进学校各项决策部署贯彻落实，促进学校经济决策更加科学化、内部管理更加规范化、风险防控趋于常态化。</w:t>
      </w:r>
    </w:p>
    <w:p>
      <w:pPr>
        <w:ind w:firstLine="645"/>
        <w:jc w:val="both"/>
        <w:rPr>
          <w:rFonts w:hint="default" w:ascii="Times New Roman" w:hAnsi="Times New Roman" w:eastAsia="黑体" w:cs="Times New Roman"/>
          <w:sz w:val="32"/>
        </w:rPr>
      </w:pPr>
      <w:r>
        <w:rPr>
          <w:rFonts w:hint="default" w:ascii="Times New Roman" w:hAnsi="Times New Roman" w:eastAsia="黑体" w:cs="Times New Roman"/>
          <w:sz w:val="32"/>
        </w:rPr>
        <w:t>一、立足新起点，坚定跟党走</w:t>
      </w:r>
    </w:p>
    <w:p>
      <w:pPr>
        <w:ind w:firstLine="699" w:firstLineChars="221"/>
        <w:jc w:val="both"/>
        <w:rPr>
          <w:rFonts w:hint="default" w:ascii="Times New Roman" w:hAnsi="Times New Roman" w:eastAsia="黑体" w:cs="Times New Roman"/>
          <w:sz w:val="32"/>
        </w:rPr>
      </w:pPr>
      <w:r>
        <w:rPr>
          <w:rFonts w:hint="default" w:ascii="Times New Roman" w:hAnsi="Times New Roman" w:eastAsia="仿宋_GB2312" w:cs="Times New Roman"/>
          <w:sz w:val="32"/>
          <w:szCs w:val="32"/>
        </w:rPr>
        <w:t>《审计法》明确指出：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坚持中国共产党对审计工作的领导，构建集中统一、全面覆盖、权威高效的审计监督体系。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站在新时代的历史方位，内部审计部门必须坚持以党的政治建设为统领，严格落实管党治党政治责任，加强自身建设，持续巩固扩大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不忘初心、牢记使命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题教育成果，认真学习、深刻领会十九届六中全会提出的新思想新论断新要求，一以贯之贯彻落实全面从严治党战略方针，义无反顾地担当起新时代内审工作重要使命，坚定不移地推进党和国家内审事业开创新局面、实现新发展。聚焦十九届六中全会，河南中医药大学审计处撰写的理论文章《发挥内部审计在全面从严治党中的重要作用》在大河网刊发，被中华高校网、中国网讯等多家媒体引用，为助推学校党风廉政建设工作高质量发展增添新的活力。</w:t>
      </w:r>
    </w:p>
    <w:p>
      <w:pPr>
        <w:ind w:firstLine="699" w:firstLineChars="221"/>
        <w:jc w:val="both"/>
        <w:rPr>
          <w:rFonts w:hint="default" w:ascii="Times New Roman" w:hAnsi="Times New Roman" w:eastAsia="黑体" w:cs="Times New Roman"/>
          <w:sz w:val="32"/>
        </w:rPr>
      </w:pPr>
      <w:r>
        <w:rPr>
          <w:rFonts w:hint="default" w:ascii="Times New Roman" w:hAnsi="Times New Roman" w:eastAsia="黑体" w:cs="Times New Roman"/>
          <w:sz w:val="32"/>
        </w:rPr>
        <w:t>二、把握关键点，坚持制度创新</w:t>
      </w:r>
    </w:p>
    <w:p>
      <w:pPr>
        <w:ind w:firstLine="645"/>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进入新时代，内部审计工作的内外部环境发生了较大改变，内部审计不仅要保障资金安全，还要促进资金使用效益提高、加强内部控制、防范资金风险，这对内部审计工作提出了更高的要求；规范管理，制度先行，2021年学校修订完善了《河南中医药大学内部审计工作规定》《河南中医药大学领导干部经济责任审计实施办法》《河南中医药大学经济责任审计联席会议制度》等规章制度，从顶层设计、组织领导、业务指导、基础规范、队伍建设等方面构建了系统的制度体系，审计工作更加制度化、规范化。</w:t>
      </w:r>
    </w:p>
    <w:p>
      <w:pPr>
        <w:ind w:firstLine="699" w:firstLineChars="221"/>
        <w:jc w:val="both"/>
        <w:rPr>
          <w:rFonts w:hint="default" w:ascii="Times New Roman" w:hAnsi="Times New Roman" w:eastAsia="黑体" w:cs="Times New Roman"/>
          <w:sz w:val="32"/>
        </w:rPr>
      </w:pPr>
      <w:r>
        <w:rPr>
          <w:rFonts w:hint="default" w:ascii="Times New Roman" w:hAnsi="Times New Roman" w:eastAsia="黑体" w:cs="Times New Roman"/>
          <w:sz w:val="32"/>
        </w:rPr>
        <w:t>三、明确切入点，贡献内审智慧</w:t>
      </w:r>
    </w:p>
    <w:p>
      <w:pPr>
        <w:ind w:firstLine="645"/>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部审计要取得新发展、实现新作为、开创新局面，根本在于把握大局、明辨方向、找准路子、扎实工作。河南中医药大学审计处以财务收支审计为抓手，融合开展经济责任审计、工程项目审计、其他专项审计等审计业务，有力拓展内部审计的广度和深度。具体从以下三个方面着手：</w:t>
      </w:r>
    </w:p>
    <w:p>
      <w:pPr>
        <w:pStyle w:val="8"/>
        <w:widowControl/>
        <w:shd w:val="clear" w:color="auto" w:fill="FFFFFF"/>
        <w:spacing w:beforeAutospacing="0" w:afterAutospacing="0"/>
        <w:ind w:right="238" w:firstLine="667" w:firstLineChars="211"/>
        <w:jc w:val="both"/>
        <w:rPr>
          <w:rFonts w:hint="default" w:ascii="Times New Roman" w:hAnsi="Times New Roman" w:eastAsia="仿宋_GB2312" w:cs="Times New Roman"/>
          <w:sz w:val="32"/>
          <w:szCs w:val="32"/>
        </w:rPr>
      </w:pPr>
      <w:r>
        <w:rPr>
          <w:rFonts w:hint="default" w:ascii="Times New Roman" w:hAnsi="Times New Roman" w:eastAsia="楷体_GB2312" w:cs="Times New Roman"/>
          <w:b w:val="0"/>
          <w:bCs/>
          <w:kern w:val="2"/>
          <w:sz w:val="32"/>
          <w:szCs w:val="32"/>
        </w:rPr>
        <w:t>（一）全面开展财务收支审计，推进经济体检全覆盖</w:t>
      </w:r>
      <w:r>
        <w:rPr>
          <w:rFonts w:hint="default" w:ascii="Times New Roman" w:hAnsi="Times New Roman" w:eastAsia="楷体_GB2312" w:cs="Times New Roman"/>
          <w:b w:val="0"/>
          <w:bCs/>
          <w:kern w:val="2"/>
          <w:sz w:val="32"/>
          <w:szCs w:val="32"/>
          <w:lang w:eastAsia="zh-CN"/>
        </w:rPr>
        <w:t>。</w:t>
      </w:r>
      <w:r>
        <w:rPr>
          <w:rFonts w:hint="default" w:ascii="Times New Roman" w:hAnsi="Times New Roman" w:eastAsia="仿宋_GB2312" w:cs="Times New Roman"/>
          <w:sz w:val="32"/>
          <w:szCs w:val="32"/>
        </w:rPr>
        <w:t>河南中医药大学审计处充分发挥内部审计离得近、看得清、反应快的优势，自2017年起每年对上一年度的预算执行及财务收支情况进行审计，通过审计摸清真实情况、及时反映突出问题、揭示风险隐患，切实发挥审计“治已病”“防未病”的建设性作用，审计成效较为明显，被评为“河南省教育系统财务审计示范点”。</w:t>
      </w:r>
    </w:p>
    <w:p>
      <w:pPr>
        <w:pStyle w:val="8"/>
        <w:widowControl/>
        <w:shd w:val="clear" w:color="auto" w:fill="FFFFFF"/>
        <w:spacing w:beforeAutospacing="0" w:afterAutospacing="0"/>
        <w:ind w:right="238" w:firstLine="667" w:firstLineChars="211"/>
        <w:jc w:val="both"/>
        <w:rPr>
          <w:rFonts w:hint="default" w:ascii="Times New Roman" w:hAnsi="Times New Roman" w:eastAsia="仿宋_GB2312" w:cs="Times New Roman"/>
          <w:sz w:val="32"/>
          <w:szCs w:val="32"/>
        </w:rPr>
      </w:pPr>
      <w:r>
        <w:rPr>
          <w:rFonts w:hint="default" w:ascii="Times New Roman" w:hAnsi="Times New Roman" w:eastAsia="楷体_GB2312" w:cs="Times New Roman"/>
          <w:b w:val="0"/>
          <w:bCs/>
          <w:kern w:val="2"/>
          <w:sz w:val="32"/>
          <w:szCs w:val="32"/>
        </w:rPr>
        <w:t>（二）着力实施经济责任审计，掀开依法治校新篇章</w:t>
      </w:r>
      <w:r>
        <w:rPr>
          <w:rFonts w:hint="default" w:ascii="Times New Roman" w:hAnsi="Times New Roman" w:eastAsia="楷体_GB2312" w:cs="Times New Roman"/>
          <w:b w:val="0"/>
          <w:bCs/>
          <w:kern w:val="2"/>
          <w:sz w:val="32"/>
          <w:szCs w:val="32"/>
          <w:lang w:eastAsia="zh-CN"/>
        </w:rPr>
        <w:t>。</w:t>
      </w:r>
      <w:r>
        <w:rPr>
          <w:rFonts w:hint="default" w:ascii="Times New Roman" w:hAnsi="Times New Roman" w:eastAsia="仿宋_GB2312" w:cs="Times New Roman"/>
          <w:sz w:val="32"/>
          <w:szCs w:val="32"/>
        </w:rPr>
        <w:t>习近平总书记指出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从严治党，关键是从严治吏。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经济责任审计正是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从严治吏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的有效途径。近年来，河南中医药大学审计处聚焦重点领域和关键环节，靶向发力，特别是强化对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关键少数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尤其是中层干部的监督，以数据为起点，以风险为导向，以问题为指引，深刻剖析领导干部腐败问题产生的根本原因，坚持把经济责任审计结果与源头上预防、治理腐败结合起来，推动全面从严治党不断深入，学校在开展经济责任审计工作中，不断探索，积累了一些好的经验和做法，被评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河南省教育系统经济责任审计示范点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pStyle w:val="8"/>
        <w:widowControl/>
        <w:shd w:val="clear" w:color="auto" w:fill="FFFFFF"/>
        <w:spacing w:beforeAutospacing="0" w:afterAutospacing="0"/>
        <w:ind w:right="238" w:firstLine="667" w:firstLineChars="211"/>
        <w:jc w:val="both"/>
        <w:rPr>
          <w:rFonts w:hint="default" w:ascii="Times New Roman" w:hAnsi="Times New Roman" w:eastAsia="仿宋_GB2312" w:cs="Times New Roman"/>
          <w:sz w:val="32"/>
          <w:szCs w:val="32"/>
        </w:rPr>
      </w:pPr>
      <w:r>
        <w:rPr>
          <w:rFonts w:hint="default" w:ascii="Times New Roman" w:hAnsi="Times New Roman" w:eastAsia="楷体_GB2312" w:cs="Times New Roman"/>
          <w:b w:val="0"/>
          <w:bCs/>
          <w:kern w:val="2"/>
          <w:sz w:val="32"/>
          <w:szCs w:val="32"/>
        </w:rPr>
        <w:t>（三）推进工程项目跟踪审计，拓宽工程审计新局面</w:t>
      </w:r>
      <w:r>
        <w:rPr>
          <w:rFonts w:hint="default" w:ascii="Times New Roman" w:hAnsi="Times New Roman" w:eastAsia="楷体_GB2312" w:cs="Times New Roman"/>
          <w:b w:val="0"/>
          <w:bCs/>
          <w:kern w:val="2"/>
          <w:sz w:val="32"/>
          <w:szCs w:val="32"/>
          <w:lang w:eastAsia="zh-CN"/>
        </w:rPr>
        <w:t>。</w:t>
      </w:r>
      <w:r>
        <w:rPr>
          <w:rFonts w:hint="default" w:ascii="Times New Roman" w:hAnsi="Times New Roman" w:eastAsia="仿宋_GB2312" w:cs="Times New Roman"/>
          <w:sz w:val="32"/>
          <w:szCs w:val="32"/>
        </w:rPr>
        <w:t>为加强学校建设工程项目资金管理，规范建设工程行为，合理控制工程造价，促进学校建设目标的实现，审计处经过充分调研，结合学校实际，决定在重大投资项目实施过程中开展跟踪审计工作，及时揭露工程建设过程中的违规违纪行为，促进建设、施工、监理、设计单位各负其责，提高了建设工程实施的透明度，改变了过去工程结算事后审计模式，实现了从静态向动态转化的良好局面。</w:t>
      </w:r>
    </w:p>
    <w:p>
      <w:pPr>
        <w:ind w:firstLine="699" w:firstLineChars="221"/>
        <w:jc w:val="both"/>
        <w:rPr>
          <w:rFonts w:hint="default" w:ascii="Times New Roman" w:hAnsi="Times New Roman" w:eastAsia="黑体" w:cs="Times New Roman"/>
          <w:sz w:val="32"/>
        </w:rPr>
      </w:pPr>
      <w:r>
        <w:rPr>
          <w:rFonts w:hint="default" w:ascii="Times New Roman" w:hAnsi="Times New Roman" w:eastAsia="黑体" w:cs="Times New Roman"/>
          <w:sz w:val="32"/>
        </w:rPr>
        <w:t>四、找准发力点，加强队伍建设</w:t>
      </w:r>
    </w:p>
    <w:p>
      <w:pPr>
        <w:pStyle w:val="8"/>
        <w:widowControl/>
        <w:shd w:val="clear" w:color="auto" w:fill="FFFFFF"/>
        <w:spacing w:beforeAutospacing="0" w:afterAutospacing="0"/>
        <w:ind w:right="240" w:firstLine="632" w:firstLineChars="200"/>
        <w:jc w:val="both"/>
        <w:rPr>
          <w:rFonts w:hint="default"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以审计精神立身、以创新规范立业、以自身建设立信</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是习近平总书记对审计工作的重要论述，是所有审计人的总遵循和努力方向。为打造一支信念坚定、业务精通、作风务实、清正廉洁的高素质专业化内部审计队伍，河南中医药大学审计处在选好配强内部审计人员的基础上，充分利用业务培训，加强交流与沟通，对审计中发现的疑点进行多方讨论，及时纠正偏离审计重点的行为。同时，审计处坚持以干代学业务练兵，利用线上线下学习资源，注重在审计业务实践中培养锻炼年轻干部，积极向政府审计取经，向兄弟院校学习，向先进典型靠拢，通过对标对表，以身边人教育身边人，不断提升审计人员的业务能力和业务水平。近年来，审计处</w:t>
      </w:r>
      <w:r>
        <w:rPr>
          <w:rFonts w:hint="default" w:ascii="Times New Roman" w:hAnsi="Times New Roman" w:eastAsia="仿宋_GB2312" w:cs="Times New Roman"/>
          <w:sz w:val="32"/>
          <w:szCs w:val="32"/>
        </w:rPr>
        <w:t>多人次荣获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河南省内部审计先进工作者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河南省教育审计工作先进工作者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2021年，</w:t>
      </w:r>
      <w:r>
        <w:rPr>
          <w:rFonts w:hint="default" w:ascii="Times New Roman" w:hAnsi="Times New Roman" w:eastAsia="仿宋_GB2312" w:cs="Times New Roman"/>
          <w:sz w:val="32"/>
          <w:szCs w:val="32"/>
        </w:rPr>
        <w:t>1人次荣获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河南省高等学校优秀共产党员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，1人次荣获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校级文明教师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ind w:firstLine="699" w:firstLineChars="221"/>
        <w:jc w:val="both"/>
        <w:rPr>
          <w:rFonts w:hint="default" w:ascii="Times New Roman" w:hAnsi="Times New Roman" w:eastAsia="黑体" w:cs="Times New Roman"/>
          <w:sz w:val="32"/>
        </w:rPr>
      </w:pPr>
      <w:r>
        <w:rPr>
          <w:rFonts w:hint="default" w:ascii="Times New Roman" w:hAnsi="Times New Roman" w:eastAsia="黑体" w:cs="Times New Roman"/>
          <w:sz w:val="32"/>
        </w:rPr>
        <w:t>五、瞄准结合点，推进纪审协同</w:t>
      </w:r>
    </w:p>
    <w:p>
      <w:pPr>
        <w:ind w:firstLine="632"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纪检监督是政治监督，审计监督是经济监督，二者的贯通协调能够促进内部审计更多地从政治视角审视经济问题，跳出经济看经济，推进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经济体检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政治体检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互促互补。近年来，河南中医药大学审计处按照学校的部署要求，把揭示领导干部落实有关党风廉政建设责任和遵守廉洁从政规定情况作为审计重点，积极与纪检监察部门、巡察部门等建立协作配合机制，紧盯收支两条线管理、预算管理、政府采购管理等重点领域，揭示一些内控管理中存在的问题，同时积极参与学校组织的巡视巡察和纪检监察的专项检查工作，在学校全面从从严治党工作中，充分发挥审计的免疫系统功能作用。2020年4月，审计处会同校纪委监察专员办公室出台了《河南中医药大学纪检监察与审计工作协同机制实施办法》，为进一步强化监督合力，提高监督效能，充分发挥两部门在惩治和预防腐败体系建设中的协同作用奠定了基础。</w:t>
      </w:r>
    </w:p>
    <w:p>
      <w:pPr>
        <w:ind w:firstLine="699" w:firstLineChars="221"/>
        <w:jc w:val="both"/>
        <w:rPr>
          <w:rFonts w:hint="default" w:ascii="Times New Roman" w:hAnsi="Times New Roman" w:eastAsia="黑体" w:cs="Times New Roman"/>
          <w:sz w:val="32"/>
        </w:rPr>
      </w:pPr>
      <w:r>
        <w:rPr>
          <w:rFonts w:hint="default" w:ascii="Times New Roman" w:hAnsi="Times New Roman" w:eastAsia="黑体" w:cs="Times New Roman"/>
          <w:sz w:val="32"/>
        </w:rPr>
        <w:t>六、关注支撑点，务求整改长效</w:t>
      </w:r>
    </w:p>
    <w:p>
      <w:pPr>
        <w:ind w:firstLine="699" w:firstLineChars="221"/>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中医讲求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治未病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，这与审计的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免疫系统论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异曲同工，内部审计发现问题仅仅是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诊断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，整改才是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吃药打针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治疗环节。河南中医药大学审计处始终把审计整改作为重要抓手，制定下发了《河南中医药大学落实审计整改的规定》，成立了以党委书记、校长为组长的审计整改工作领导小组，实行审计整改跟踪检查制度、审计整改督察制度、审计整改责任追究制度、审计整改结果运用制度等。在年度财务收支审计中，重点关注以前年度发现问题的整改情况，对审计发现的问题盯紧盯死，建立台账,实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问题清单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整改清单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对接机制，对账销号，实现审计整改闭环管理，整改工作取得明显成效，2021年，</w:t>
      </w:r>
      <w:r>
        <w:rPr>
          <w:rFonts w:hint="default" w:ascii="Times New Roman" w:hAnsi="Times New Roman" w:eastAsia="仿宋_GB2312" w:cs="Times New Roman"/>
          <w:color w:val="333333"/>
          <w:sz w:val="32"/>
          <w:szCs w:val="32"/>
        </w:rPr>
        <w:t>催收到位各类资金1300多万元；盘活闲置资金近20万元，惠及120余名在校贫困生；清理各类往来款项9000多万元元</w:t>
      </w:r>
      <w:r>
        <w:rPr>
          <w:rFonts w:hint="default" w:ascii="Times New Roman" w:hAnsi="Times New Roman" w:eastAsia="仿宋_GB2312" w:cs="Times New Roman"/>
          <w:sz w:val="32"/>
          <w:szCs w:val="32"/>
        </w:rPr>
        <w:t>，真正把审计成果转化为推动学校健康快速发展的强大动力。</w:t>
      </w:r>
    </w:p>
    <w:p>
      <w:pPr>
        <w:ind w:firstLine="699" w:firstLineChars="221"/>
        <w:jc w:val="both"/>
        <w:rPr>
          <w:rFonts w:hint="default" w:ascii="Times New Roman" w:hAnsi="Times New Roman" w:eastAsia="黑体" w:cs="Times New Roman"/>
          <w:sz w:val="32"/>
        </w:rPr>
      </w:pPr>
      <w:r>
        <w:rPr>
          <w:rFonts w:hint="default" w:ascii="Times New Roman" w:hAnsi="Times New Roman" w:eastAsia="黑体" w:cs="Times New Roman"/>
          <w:sz w:val="32"/>
        </w:rPr>
        <w:t>七、寻求突破点，着力以研促审</w:t>
      </w:r>
    </w:p>
    <w:p>
      <w:pPr>
        <w:spacing w:line="560" w:lineRule="atLeast"/>
        <w:ind w:firstLine="699" w:firstLineChars="221"/>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全国审计工作会议强调，要积极推进研究型审计，更精准地揭示问题，更深入地剖析原因，更有针对性地提出意见和建议，把研究工作作为审计的谋事之基、成事之道。高校作为理论研究的前沿阵地，更应该肩负起推进审计理论研究的重要责任。河南中医药大学审计处充分利用高校学术优势，结合实际工作中的重点、难点和创新点，深入研究问题背后的体制障碍、机制缺陷、制度漏洞，加以精选课题，以研促审，审研结合，将内部审计实践中的经验做法及时转化为理论成果，在提升理论水平的同时促进业务能力同步提高。2021年，审计处牵头完成省级课题结项1项，获批省级课题，立项1项、厅级课题3项、校级课题1项。</w:t>
      </w:r>
    </w:p>
    <w:p>
      <w:pPr>
        <w:ind w:firstLine="632" w:firstLineChars="200"/>
        <w:jc w:val="both"/>
        <w:rPr>
          <w:rFonts w:hint="default" w:ascii="Times New Roman" w:hAnsi="Times New Roman" w:cs="Times New Roman"/>
        </w:rPr>
      </w:pPr>
      <w:r>
        <w:rPr>
          <w:rFonts w:hint="default" w:ascii="Times New Roman" w:hAnsi="Times New Roman" w:eastAsia="仿宋_GB2312" w:cs="Times New Roman"/>
          <w:sz w:val="32"/>
          <w:szCs w:val="32"/>
        </w:rPr>
        <w:t>新时代的高校内部审计工作，使命光荣、任务艰巨，只有站在党和国家事业全局的高度，不断践行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把握大局、明辨方向、找准路子、扎实工作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的总体要求，才能不折不扣地将贯彻党对内部审计工作的部署要求转化为自觉行动，才能义无反顾地担当起内部审计工作的重要使命，才能不断推动学校内审工作高质量发展。</w:t>
      </w: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EF5D4E"/>
    <w:rsid w:val="022A53CB"/>
    <w:rsid w:val="0392490F"/>
    <w:rsid w:val="04EE0CB9"/>
    <w:rsid w:val="05214BF0"/>
    <w:rsid w:val="0F603889"/>
    <w:rsid w:val="0FAE14E8"/>
    <w:rsid w:val="15945AD9"/>
    <w:rsid w:val="1A1A7D89"/>
    <w:rsid w:val="1C175EFB"/>
    <w:rsid w:val="1CD540DB"/>
    <w:rsid w:val="1DF932BF"/>
    <w:rsid w:val="1F88487D"/>
    <w:rsid w:val="1FD43A2F"/>
    <w:rsid w:val="20EC021F"/>
    <w:rsid w:val="21E73240"/>
    <w:rsid w:val="24450F0F"/>
    <w:rsid w:val="27B03BA5"/>
    <w:rsid w:val="2BF53085"/>
    <w:rsid w:val="2CB736B3"/>
    <w:rsid w:val="303372EC"/>
    <w:rsid w:val="31585A7A"/>
    <w:rsid w:val="31AE65ED"/>
    <w:rsid w:val="31DA60DD"/>
    <w:rsid w:val="32E201F9"/>
    <w:rsid w:val="34951F16"/>
    <w:rsid w:val="374256D9"/>
    <w:rsid w:val="3A6544DA"/>
    <w:rsid w:val="3A7157BF"/>
    <w:rsid w:val="3CF63331"/>
    <w:rsid w:val="3EAB25E4"/>
    <w:rsid w:val="44572C84"/>
    <w:rsid w:val="44BC0C36"/>
    <w:rsid w:val="460D15E7"/>
    <w:rsid w:val="4710744F"/>
    <w:rsid w:val="47DE1538"/>
    <w:rsid w:val="4B084D7B"/>
    <w:rsid w:val="4BEF6255"/>
    <w:rsid w:val="4C8758D9"/>
    <w:rsid w:val="4D59532D"/>
    <w:rsid w:val="4DBD6162"/>
    <w:rsid w:val="4F2277E8"/>
    <w:rsid w:val="4FED0154"/>
    <w:rsid w:val="50033E0F"/>
    <w:rsid w:val="538216A2"/>
    <w:rsid w:val="541166E0"/>
    <w:rsid w:val="5C7B5C91"/>
    <w:rsid w:val="661A68A5"/>
    <w:rsid w:val="69B82AA8"/>
    <w:rsid w:val="69D6769C"/>
    <w:rsid w:val="6BE25183"/>
    <w:rsid w:val="6F1C4373"/>
    <w:rsid w:val="706A301D"/>
    <w:rsid w:val="76DB205F"/>
    <w:rsid w:val="784D167E"/>
    <w:rsid w:val="786931DE"/>
    <w:rsid w:val="78863832"/>
    <w:rsid w:val="7B2C66AC"/>
    <w:rsid w:val="7B342C23"/>
    <w:rsid w:val="7BC44768"/>
    <w:rsid w:val="7BFB1DFA"/>
    <w:rsid w:val="7FCA4FC7"/>
    <w:rsid w:val="7FD4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8">
    <w:name w:val="Normal (Web)"/>
    <w:basedOn w:val="1"/>
    <w:qFormat/>
    <w:uiPriority w:val="0"/>
    <w:pPr>
      <w:widowControl/>
      <w:jc w:val="left"/>
    </w:pPr>
    <w:rPr>
      <w:rFonts w:ascii="宋体" w:hAnsi="宋体" w:cs="宋体"/>
      <w:kern w:val="0"/>
      <w:sz w:val="18"/>
      <w:szCs w:val="18"/>
    </w:rPr>
  </w:style>
  <w:style w:type="character" w:styleId="11">
    <w:name w:val="page number"/>
    <w:basedOn w:val="10"/>
    <w:qFormat/>
    <w:uiPriority w:val="0"/>
  </w:style>
  <w:style w:type="paragraph" w:customStyle="1" w:styleId="12">
    <w:name w:val="公文标题"/>
    <w:basedOn w:val="7"/>
    <w:qFormat/>
    <w:uiPriority w:val="0"/>
    <w:pPr>
      <w:adjustRightInd w:val="0"/>
      <w:snapToGrid w:val="0"/>
      <w:spacing w:line="240" w:lineRule="auto"/>
    </w:pPr>
    <w:rPr>
      <w:rFonts w:ascii="方正小标宋简体" w:eastAsia="方正小标宋简体"/>
      <w:b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2020-09-09T08:29:00Z</cp:lastPrinted>
  <dcterms:modified xsi:type="dcterms:W3CDTF">2021-12-21T07:27:14Z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7F98BCD4A87E4A6CA86665B92CDA6E0D</vt:lpwstr>
  </property>
</Properties>
</file>