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napToGrid/>
        <w:spacing w:line="600" w:lineRule="atLeast"/>
        <w:ind w:left="0" w:leftChars="0" w:right="0" w:rightChars="0" w:firstLine="0" w:firstLineChars="0"/>
        <w:jc w:val="center"/>
        <w:textAlignment w:val="auto"/>
        <w:outlineLvl w:val="9"/>
        <w:rPr>
          <w:rFonts w:hint="eastAsia" w:ascii="Times New Roman" w:hAnsi="Times New Roman" w:eastAsia="长城小标宋体" w:cs="长城小标宋体"/>
          <w:color w:val="FF0000"/>
          <w:sz w:val="32"/>
          <w:szCs w:val="32"/>
          <w:highlight w:val="none"/>
          <w:lang w:eastAsia="zh-CN"/>
        </w:rPr>
      </w:pPr>
    </w:p>
    <w:p>
      <w:pPr>
        <w:keepNext w:val="0"/>
        <w:keepLines w:val="0"/>
        <w:pageBreakBefore w:val="0"/>
        <w:kinsoku/>
        <w:wordWrap/>
        <w:overflowPunct/>
        <w:topLinePunct w:val="0"/>
        <w:autoSpaceDE/>
        <w:autoSpaceDN/>
        <w:bidi w:val="0"/>
        <w:snapToGrid/>
        <w:spacing w:line="600" w:lineRule="atLeast"/>
        <w:ind w:left="0" w:leftChars="0" w:right="0" w:rightChars="0" w:firstLine="0" w:firstLineChars="0"/>
        <w:jc w:val="center"/>
        <w:textAlignment w:val="auto"/>
        <w:outlineLvl w:val="9"/>
        <w:rPr>
          <w:rFonts w:hint="eastAsia" w:ascii="Times New Roman" w:hAnsi="Times New Roman" w:eastAsia="长城小标宋体" w:cs="长城小标宋体"/>
          <w:sz w:val="84"/>
          <w:szCs w:val="84"/>
          <w:highlight w:val="none"/>
        </w:rPr>
      </w:pPr>
      <w:r>
        <w:rPr>
          <w:rFonts w:hint="eastAsia" w:ascii="Times New Roman" w:hAnsi="Times New Roman" w:eastAsia="长城小标宋体" w:cs="长城小标宋体"/>
          <w:color w:val="FF0000"/>
          <w:sz w:val="84"/>
          <w:szCs w:val="84"/>
          <w:highlight w:val="none"/>
          <w:lang w:eastAsia="zh-CN"/>
        </w:rPr>
        <w:t>河南内审</w:t>
      </w:r>
      <w:r>
        <w:rPr>
          <w:rFonts w:hint="eastAsia" w:ascii="Times New Roman" w:hAnsi="Times New Roman" w:eastAsia="长城小标宋体" w:cs="长城小标宋体"/>
          <w:color w:val="FF0000"/>
          <w:sz w:val="84"/>
          <w:szCs w:val="84"/>
          <w:highlight w:val="none"/>
        </w:rPr>
        <w:t>工作</w:t>
      </w:r>
      <w:r>
        <w:rPr>
          <w:rFonts w:hint="eastAsia" w:ascii="Times New Roman" w:hAnsi="Times New Roman" w:eastAsia="长城小标宋体" w:cs="长城小标宋体"/>
          <w:color w:val="FF0000"/>
          <w:sz w:val="84"/>
          <w:szCs w:val="84"/>
          <w:highlight w:val="none"/>
          <w:lang w:eastAsia="zh-CN"/>
        </w:rPr>
        <w:t>资</w:t>
      </w:r>
      <w:r>
        <w:rPr>
          <w:rFonts w:hint="eastAsia" w:ascii="Times New Roman" w:hAnsi="Times New Roman" w:eastAsia="长城小标宋体" w:cs="长城小标宋体"/>
          <w:color w:val="FF0000"/>
          <w:sz w:val="84"/>
          <w:szCs w:val="84"/>
          <w:highlight w:val="none"/>
        </w:rPr>
        <w:t>讯</w:t>
      </w:r>
    </w:p>
    <w:p>
      <w:pPr>
        <w:keepNext w:val="0"/>
        <w:keepLines w:val="0"/>
        <w:pageBreakBefore w:val="0"/>
        <w:kinsoku/>
        <w:wordWrap/>
        <w:overflowPunct/>
        <w:topLinePunct w:val="0"/>
        <w:autoSpaceDE/>
        <w:autoSpaceDN/>
        <w:bidi w:val="0"/>
        <w:snapToGrid/>
        <w:spacing w:line="600" w:lineRule="atLeast"/>
        <w:ind w:left="0" w:leftChars="0" w:right="0" w:rightChars="0" w:firstLine="0" w:firstLineChars="0"/>
        <w:jc w:val="center"/>
        <w:textAlignment w:val="auto"/>
        <w:outlineLvl w:val="9"/>
        <w:rPr>
          <w:rFonts w:hint="eastAsia" w:ascii="Times New Roman" w:hAnsi="Times New Roman" w:eastAsia="仿宋_GB2312" w:cs="仿宋_GB2312"/>
          <w:szCs w:val="32"/>
          <w:highlight w:val="none"/>
        </w:rPr>
      </w:pPr>
    </w:p>
    <w:p>
      <w:pPr>
        <w:keepNext w:val="0"/>
        <w:keepLines w:val="0"/>
        <w:pageBreakBefore w:val="0"/>
        <w:kinsoku/>
        <w:wordWrap/>
        <w:overflowPunct/>
        <w:topLinePunct w:val="0"/>
        <w:autoSpaceDE/>
        <w:autoSpaceDN/>
        <w:bidi w:val="0"/>
        <w:snapToGrid/>
        <w:spacing w:line="600" w:lineRule="atLeast"/>
        <w:ind w:left="0" w:leftChars="0" w:right="0" w:rightChars="0" w:firstLine="0" w:firstLineChars="0"/>
        <w:jc w:val="center"/>
        <w:textAlignment w:val="auto"/>
        <w:outlineLvl w:val="9"/>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第</w:t>
      </w:r>
      <w:r>
        <w:rPr>
          <w:rFonts w:hint="eastAsia" w:ascii="Times New Roman" w:hAnsi="Times New Roman" w:eastAsia="仿宋_GB2312" w:cs="Times New Roman"/>
          <w:kern w:val="2"/>
          <w:sz w:val="32"/>
          <w:szCs w:val="32"/>
          <w:highlight w:val="none"/>
          <w:lang w:val="en-US" w:eastAsia="zh-CN" w:bidi="ar-SA"/>
        </w:rPr>
        <w:t>6</w:t>
      </w:r>
      <w:r>
        <w:rPr>
          <w:rFonts w:hint="eastAsia" w:ascii="Times New Roman" w:hAnsi="Times New Roman" w:eastAsia="仿宋_GB2312"/>
          <w:sz w:val="32"/>
          <w:szCs w:val="32"/>
          <w:highlight w:val="none"/>
          <w:lang w:val="en-US" w:eastAsia="zh-CN"/>
        </w:rPr>
        <w:t>期</w:t>
      </w:r>
    </w:p>
    <w:p>
      <w:pPr>
        <w:keepNext w:val="0"/>
        <w:keepLines w:val="0"/>
        <w:pageBreakBefore w:val="0"/>
        <w:kinsoku/>
        <w:wordWrap/>
        <w:overflowPunct/>
        <w:topLinePunct w:val="0"/>
        <w:autoSpaceDE/>
        <w:autoSpaceDN/>
        <w:bidi w:val="0"/>
        <w:snapToGrid/>
        <w:spacing w:line="600" w:lineRule="atLeast"/>
        <w:ind w:left="0" w:leftChars="0" w:right="0" w:rightChars="0" w:firstLine="0" w:firstLineChars="0"/>
        <w:jc w:val="center"/>
        <w:textAlignment w:val="auto"/>
        <w:outlineLvl w:val="9"/>
        <w:rPr>
          <w:rFonts w:ascii="Times New Roman" w:hAnsi="Times New Roman" w:eastAsia="仿宋_GB2312"/>
          <w:sz w:val="32"/>
          <w:szCs w:val="32"/>
          <w:highlight w:val="none"/>
        </w:rPr>
      </w:pP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总</w:t>
      </w:r>
      <w:r>
        <w:rPr>
          <w:rFonts w:ascii="Times New Roman" w:hAnsi="Times New Roman" w:eastAsia="仿宋_GB2312"/>
          <w:sz w:val="32"/>
          <w:szCs w:val="32"/>
          <w:highlight w:val="none"/>
        </w:rPr>
        <w:t>第</w:t>
      </w:r>
      <w:r>
        <w:rPr>
          <w:rFonts w:hint="eastAsia" w:ascii="Times New Roman" w:hAnsi="Times New Roman" w:eastAsia="仿宋_GB2312" w:cs="Times New Roman"/>
          <w:kern w:val="2"/>
          <w:sz w:val="32"/>
          <w:szCs w:val="32"/>
          <w:highlight w:val="none"/>
          <w:lang w:val="en-US" w:eastAsia="zh-CN" w:bidi="ar-SA"/>
        </w:rPr>
        <w:t>37</w:t>
      </w:r>
      <w:r>
        <w:rPr>
          <w:rFonts w:ascii="Times New Roman" w:hAnsi="Times New Roman" w:eastAsia="仿宋_GB2312"/>
          <w:sz w:val="32"/>
          <w:szCs w:val="32"/>
          <w:highlight w:val="none"/>
        </w:rPr>
        <w:t>期）</w:t>
      </w:r>
    </w:p>
    <w:p>
      <w:pPr>
        <w:keepNext w:val="0"/>
        <w:keepLines w:val="0"/>
        <w:pageBreakBefore w:val="0"/>
        <w:kinsoku/>
        <w:wordWrap/>
        <w:overflowPunct/>
        <w:topLinePunct w:val="0"/>
        <w:autoSpaceDE/>
        <w:autoSpaceDN/>
        <w:bidi w:val="0"/>
        <w:snapToGrid/>
        <w:spacing w:line="600" w:lineRule="atLeast"/>
        <w:ind w:left="0" w:leftChars="0" w:right="0" w:rightChars="0" w:firstLine="0" w:firstLineChars="0"/>
        <w:jc w:val="center"/>
        <w:textAlignment w:val="auto"/>
        <w:outlineLvl w:val="9"/>
        <w:rPr>
          <w:rFonts w:hint="eastAsia" w:ascii="Times New Roman" w:hAnsi="Times New Roman" w:eastAsia="仿宋_GB2312" w:cs="仿宋_GB2312"/>
          <w:szCs w:val="32"/>
          <w:highlight w:val="none"/>
        </w:rPr>
      </w:pPr>
    </w:p>
    <w:p>
      <w:pPr>
        <w:keepNext w:val="0"/>
        <w:keepLines w:val="0"/>
        <w:pageBreakBefore w:val="0"/>
        <w:kinsoku/>
        <w:wordWrap/>
        <w:overflowPunct/>
        <w:topLinePunct w:val="0"/>
        <w:autoSpaceDE/>
        <w:autoSpaceDN/>
        <w:bidi w:val="0"/>
        <w:snapToGrid/>
        <w:spacing w:line="600" w:lineRule="atLeast"/>
        <w:ind w:left="0" w:leftChars="0" w:right="0" w:rightChars="0" w:firstLine="0" w:firstLineChars="0"/>
        <w:jc w:val="left"/>
        <w:textAlignment w:val="auto"/>
        <w:outlineLvl w:val="9"/>
        <w:rPr>
          <w:rFonts w:hint="eastAsia" w:ascii="Times New Roman" w:hAnsi="Times New Roman" w:eastAsia="仿宋_GB2312" w:cs="仿宋_GB2312"/>
          <w:w w:val="105"/>
          <w:sz w:val="32"/>
          <w:szCs w:val="32"/>
          <w:highlight w:val="none"/>
        </w:rPr>
      </w:pPr>
      <w:r>
        <w:rPr>
          <w:rFonts w:hint="eastAsia" w:ascii="Times New Roman" w:hAnsi="Times New Roman" w:eastAsia="仿宋_GB2312" w:cs="仿宋_GB2312"/>
          <w:w w:val="105"/>
          <w:sz w:val="32"/>
          <w:szCs w:val="32"/>
          <w:highlight w:val="none"/>
        </w:rPr>
        <w:t>河 南 省 审 计 厅</w:t>
      </w:r>
    </w:p>
    <w:p>
      <w:pPr>
        <w:keepNext w:val="0"/>
        <w:keepLines w:val="0"/>
        <w:pageBreakBefore w:val="0"/>
        <w:widowControl w:val="0"/>
        <w:pBdr>
          <w:top w:val="none" w:color="auto" w:sz="0" w:space="1"/>
          <w:left w:val="none" w:color="auto" w:sz="0" w:space="4"/>
          <w:bottom w:val="single" w:color="FF0000" w:sz="18" w:space="1"/>
          <w:right w:val="none" w:color="auto" w:sz="0" w:space="4"/>
          <w:between w:val="none" w:color="auto" w:sz="0" w:space="0"/>
        </w:pBdr>
        <w:kinsoku/>
        <w:wordWrap/>
        <w:overflowPunct/>
        <w:topLinePunct w:val="0"/>
        <w:autoSpaceDE/>
        <w:autoSpaceDN/>
        <w:bidi w:val="0"/>
        <w:adjustRightInd w:val="0"/>
        <w:snapToGrid/>
        <w:spacing w:line="600" w:lineRule="atLeast"/>
        <w:ind w:left="0" w:leftChars="0" w:right="0" w:rightChars="0" w:firstLine="0" w:firstLineChars="0"/>
        <w:jc w:val="left"/>
        <w:textAlignment w:val="auto"/>
        <w:outlineLvl w:val="9"/>
        <w:rPr>
          <w:rFonts w:hint="eastAsia" w:ascii="Times New Roman" w:hAnsi="Times New Roman" w:eastAsia="仿宋_GB2312" w:cs="仿宋_GB2312"/>
          <w:color w:val="auto"/>
          <w:sz w:val="32"/>
          <w:szCs w:val="32"/>
          <w:highlight w:val="none"/>
        </w:rPr>
      </w:pPr>
      <w:r>
        <w:rPr>
          <w:rFonts w:hint="eastAsia" w:ascii="Times New Roman" w:hAnsi="Times New Roman" w:eastAsia="仿宋_GB2312" w:cs="仿宋_GB2312"/>
          <w:color w:val="auto"/>
          <w:sz w:val="32"/>
          <w:szCs w:val="32"/>
          <w:highlight w:val="none"/>
        </w:rPr>
        <w:t xml:space="preserve">内部审计指导监督处                   </w:t>
      </w:r>
      <w:r>
        <w:rPr>
          <w:rFonts w:hint="default" w:ascii="Times New Roman" w:hAnsi="Times New Roman" w:eastAsia="仿宋_GB2312" w:cs="Times New Roman"/>
          <w:color w:val="auto"/>
          <w:sz w:val="32"/>
          <w:szCs w:val="32"/>
          <w:highlight w:val="none"/>
        </w:rPr>
        <w:t xml:space="preserve">  </w:t>
      </w:r>
      <w:r>
        <w:rPr>
          <w:rFonts w:hint="eastAsia"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rPr>
        <w:t>202</w:t>
      </w:r>
      <w:r>
        <w:rPr>
          <w:rFonts w:hint="eastAsia" w:ascii="Times New Roman" w:hAnsi="Times New Roman"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kern w:val="2"/>
          <w:sz w:val="32"/>
          <w:szCs w:val="32"/>
          <w:highlight w:val="none"/>
          <w:lang w:val="en-US" w:eastAsia="zh-CN" w:bidi="ar-SA"/>
        </w:rPr>
        <w:t>10</w:t>
      </w:r>
      <w:r>
        <w:rPr>
          <w:rFonts w:hint="eastAsia" w:ascii="Times New Roman" w:hAnsi="Times New Roman" w:cs="Times New Roman"/>
          <w:color w:val="auto"/>
          <w:sz w:val="32"/>
          <w:szCs w:val="32"/>
          <w:highlight w:val="none"/>
          <w:lang w:val="en-US" w:eastAsia="zh-CN"/>
        </w:rPr>
        <w:t>月</w:t>
      </w:r>
      <w:r>
        <w:rPr>
          <w:rFonts w:hint="eastAsia" w:ascii="Times New Roman" w:hAnsi="Times New Roman" w:eastAsia="仿宋_GB2312" w:cs="Times New Roman"/>
          <w:kern w:val="2"/>
          <w:sz w:val="32"/>
          <w:szCs w:val="32"/>
          <w:highlight w:val="none"/>
          <w:lang w:val="en-US" w:eastAsia="zh-CN" w:bidi="ar-SA"/>
        </w:rPr>
        <w:t>16</w:t>
      </w:r>
      <w:r>
        <w:rPr>
          <w:rFonts w:hint="default" w:ascii="Times New Roman" w:hAnsi="Times New Roman" w:eastAsia="仿宋_GB2312" w:cs="Times New Roman"/>
          <w:color w:val="auto"/>
          <w:sz w:val="32"/>
          <w:szCs w:val="32"/>
          <w:highlight w:val="none"/>
        </w:rPr>
        <w:t>日</w:t>
      </w:r>
    </w:p>
    <w:p>
      <w:pPr>
        <w:pStyle w:val="9"/>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left="0" w:leftChars="0" w:right="0" w:rightChars="0"/>
        <w:jc w:val="both"/>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color w:val="FF0000"/>
          <w:highlight w:val="non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长城小标宋体" w:hAnsi="长城小标宋体" w:eastAsia="长城小标宋体" w:cs="长城小标宋体"/>
          <w:sz w:val="44"/>
          <w:szCs w:val="44"/>
          <w:lang w:val="en-US" w:eastAsia="zh-CN"/>
        </w:rPr>
      </w:pPr>
      <w:r>
        <w:rPr>
          <w:rFonts w:hint="eastAsia" w:ascii="长城小标宋体" w:hAnsi="长城小标宋体" w:eastAsia="长城小标宋体" w:cs="长城小标宋体"/>
          <w:sz w:val="44"/>
          <w:szCs w:val="44"/>
          <w:lang w:val="en-US" w:eastAsia="zh-CN"/>
        </w:rPr>
        <w:t>河南铁路建设投资集团</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长城小标宋体" w:hAnsi="长城小标宋体" w:eastAsia="长城小标宋体" w:cs="长城小标宋体"/>
          <w:sz w:val="44"/>
          <w:szCs w:val="44"/>
          <w:lang w:val="en-US" w:eastAsia="zh-CN"/>
        </w:rPr>
      </w:pPr>
      <w:r>
        <w:rPr>
          <w:rFonts w:hint="eastAsia" w:ascii="长城小标宋体" w:hAnsi="长城小标宋体" w:eastAsia="长城小标宋体" w:cs="长城小标宋体"/>
          <w:sz w:val="44"/>
          <w:szCs w:val="44"/>
          <w:lang w:val="en-US" w:eastAsia="zh-CN"/>
        </w:rPr>
        <w:t>强化内部审计监督 助力集团高质量发展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近年来，</w:t>
      </w:r>
      <w:r>
        <w:rPr>
          <w:rFonts w:hint="eastAsia" w:ascii="仿宋_GB2312" w:hAnsi="仿宋" w:eastAsia="仿宋_GB2312"/>
          <w:color w:val="auto"/>
          <w:sz w:val="32"/>
          <w:szCs w:val="32"/>
          <w:lang w:val="en-US" w:eastAsia="zh-CN"/>
        </w:rPr>
        <w:t>河南铁路建设投资集团</w:t>
      </w:r>
      <w:r>
        <w:rPr>
          <w:rFonts w:hint="eastAsia" w:ascii="Times New Roman" w:hAnsi="Times New Roman" w:eastAsia="仿宋_GB2312" w:cs="Times New Roman"/>
          <w:sz w:val="32"/>
          <w:szCs w:val="32"/>
          <w:highlight w:val="none"/>
          <w:lang w:val="en-US" w:eastAsia="zh-CN"/>
        </w:rPr>
        <w:t>有限公司（</w:t>
      </w:r>
      <w:r>
        <w:rPr>
          <w:rFonts w:hint="default" w:ascii="Times New Roman" w:hAnsi="Times New Roman" w:eastAsia="仿宋_GB2312" w:cs="Times New Roman"/>
          <w:sz w:val="32"/>
          <w:szCs w:val="32"/>
          <w:lang w:eastAsia="zh-CN"/>
        </w:rPr>
        <w:t>以下简称</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highlight w:val="none"/>
          <w:lang w:val="en-US" w:eastAsia="zh-CN"/>
        </w:rPr>
        <w:t>集团”）</w:t>
      </w:r>
      <w:r>
        <w:rPr>
          <w:rFonts w:hint="eastAsia" w:ascii="仿宋_GB2312" w:hAnsi="仿宋" w:eastAsia="仿宋_GB2312"/>
          <w:color w:val="auto"/>
          <w:sz w:val="32"/>
          <w:szCs w:val="32"/>
        </w:rPr>
        <w:t>在省委、省政府</w:t>
      </w:r>
      <w:r>
        <w:rPr>
          <w:rFonts w:hint="eastAsia" w:ascii="仿宋_GB2312" w:hAnsi="仿宋" w:eastAsia="仿宋_GB2312"/>
          <w:color w:val="auto"/>
          <w:sz w:val="32"/>
          <w:szCs w:val="32"/>
          <w:lang w:val="en-US" w:eastAsia="zh-CN"/>
        </w:rPr>
        <w:t>的</w:t>
      </w:r>
      <w:r>
        <w:rPr>
          <w:rFonts w:hint="eastAsia" w:ascii="仿宋_GB2312" w:hAnsi="仿宋" w:eastAsia="仿宋_GB2312"/>
          <w:color w:val="auto"/>
          <w:sz w:val="32"/>
          <w:szCs w:val="32"/>
        </w:rPr>
        <w:t>正确领导</w:t>
      </w:r>
      <w:r>
        <w:rPr>
          <w:rFonts w:hint="eastAsia" w:ascii="仿宋_GB2312" w:hAnsi="仿宋" w:eastAsia="仿宋_GB2312"/>
          <w:color w:val="auto"/>
          <w:sz w:val="32"/>
          <w:szCs w:val="32"/>
          <w:lang w:val="en-US" w:eastAsia="zh-CN"/>
        </w:rPr>
        <w:t>下，</w:t>
      </w:r>
      <w:r>
        <w:rPr>
          <w:rFonts w:hint="eastAsia" w:ascii="Times New Roman" w:hAnsi="Times New Roman" w:eastAsia="仿宋_GB2312" w:cs="Times New Roman"/>
          <w:sz w:val="32"/>
          <w:szCs w:val="32"/>
          <w:highlight w:val="none"/>
          <w:lang w:val="en-US" w:eastAsia="zh-CN"/>
        </w:rPr>
        <w:t>认真贯彻习近平总书记关于审计工作的重要讲话</w:t>
      </w:r>
      <w:r>
        <w:rPr>
          <w:rFonts w:hint="eastAsia" w:cs="Times New Roman"/>
          <w:sz w:val="32"/>
          <w:szCs w:val="32"/>
          <w:highlight w:val="none"/>
          <w:lang w:val="en-US" w:eastAsia="zh-CN"/>
        </w:rPr>
        <w:t>和</w:t>
      </w:r>
      <w:r>
        <w:rPr>
          <w:rFonts w:hint="eastAsia" w:ascii="Times New Roman" w:hAnsi="Times New Roman" w:eastAsia="仿宋_GB2312" w:cs="Times New Roman"/>
          <w:sz w:val="32"/>
          <w:szCs w:val="32"/>
          <w:highlight w:val="none"/>
          <w:lang w:val="en-US" w:eastAsia="zh-CN"/>
        </w:rPr>
        <w:t>重要指示精神，严格</w:t>
      </w:r>
      <w:r>
        <w:rPr>
          <w:rFonts w:hint="eastAsia" w:cs="Times New Roman"/>
          <w:sz w:val="32"/>
          <w:szCs w:val="32"/>
          <w:highlight w:val="none"/>
          <w:lang w:val="en-US" w:eastAsia="zh-CN"/>
        </w:rPr>
        <w:t>按照省审计厅</w:t>
      </w:r>
      <w:r>
        <w:rPr>
          <w:rFonts w:hint="eastAsia" w:ascii="Times New Roman" w:hAnsi="Times New Roman" w:eastAsia="仿宋_GB2312" w:cs="Times New Roman"/>
          <w:sz w:val="32"/>
          <w:szCs w:val="32"/>
          <w:highlight w:val="none"/>
          <w:lang w:val="en-US" w:eastAsia="zh-CN"/>
        </w:rPr>
        <w:t>部署要求，提高站位、主动谋划，以“五个坚持”</w:t>
      </w:r>
      <w:r>
        <w:rPr>
          <w:rFonts w:hint="default" w:ascii="Times New Roman" w:hAnsi="Times New Roman" w:eastAsia="仿宋_GB2312" w:cs="Times New Roman"/>
          <w:sz w:val="32"/>
          <w:szCs w:val="32"/>
          <w:highlight w:val="none"/>
          <w:lang w:val="en-US" w:eastAsia="zh-CN"/>
        </w:rPr>
        <w:t>为指引</w:t>
      </w:r>
      <w:r>
        <w:rPr>
          <w:rFonts w:hint="eastAsia" w:ascii="Times New Roman" w:hAnsi="Times New Roman" w:eastAsia="仿宋_GB2312" w:cs="Times New Roman"/>
          <w:sz w:val="32"/>
          <w:szCs w:val="32"/>
          <w:highlight w:val="none"/>
          <w:lang w:val="en-US" w:eastAsia="zh-CN"/>
        </w:rPr>
        <w:t>，通过探索实施“风审融合”审计模式，加大</w:t>
      </w:r>
      <w:r>
        <w:rPr>
          <w:rFonts w:hint="eastAsia" w:cs="Times New Roman"/>
          <w:sz w:val="32"/>
          <w:szCs w:val="32"/>
          <w:highlight w:val="none"/>
          <w:lang w:val="en-US" w:eastAsia="zh-CN"/>
        </w:rPr>
        <w:t>内部</w:t>
      </w:r>
      <w:r>
        <w:rPr>
          <w:rFonts w:hint="eastAsia" w:ascii="Times New Roman" w:hAnsi="Times New Roman" w:eastAsia="仿宋_GB2312" w:cs="Times New Roman"/>
          <w:sz w:val="32"/>
          <w:szCs w:val="32"/>
          <w:highlight w:val="none"/>
          <w:lang w:val="en-US" w:eastAsia="zh-CN"/>
        </w:rPr>
        <w:t>审计监督力度、推进</w:t>
      </w:r>
      <w:r>
        <w:rPr>
          <w:rFonts w:hint="eastAsia" w:cs="Times New Roman"/>
          <w:sz w:val="32"/>
          <w:szCs w:val="32"/>
          <w:highlight w:val="none"/>
          <w:lang w:val="en-US" w:eastAsia="zh-CN"/>
        </w:rPr>
        <w:t>内部</w:t>
      </w:r>
      <w:r>
        <w:rPr>
          <w:rFonts w:hint="eastAsia" w:ascii="Times New Roman" w:hAnsi="Times New Roman" w:eastAsia="仿宋_GB2312" w:cs="Times New Roman"/>
          <w:sz w:val="32"/>
          <w:szCs w:val="32"/>
          <w:highlight w:val="none"/>
          <w:lang w:val="en-US" w:eastAsia="zh-CN"/>
        </w:rPr>
        <w:t xml:space="preserve">审计全覆盖，积极为集团高质量发展做出贡献。                                                                                                                                                                                                                                                                                                                                                                                                                                                                                                                                                                                                                                                                                                                                                                                                                                                                                                                                                                                                                                                                                                                       </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214" w:rightChars="0" w:firstLine="632"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一、坚持党的领导，健全完善审计工作体系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highlight w:val="none"/>
          <w:lang w:val="en-US" w:eastAsia="zh-CN"/>
        </w:rPr>
      </w:pPr>
      <w:r>
        <w:rPr>
          <w:rFonts w:hint="eastAsia" w:cs="Times New Roman"/>
          <w:sz w:val="32"/>
          <w:szCs w:val="32"/>
          <w:highlight w:val="none"/>
          <w:lang w:val="en-US" w:eastAsia="zh-CN"/>
        </w:rPr>
        <w:t>该</w:t>
      </w:r>
      <w:r>
        <w:rPr>
          <w:rFonts w:hint="eastAsia" w:ascii="Times New Roman" w:hAnsi="Times New Roman" w:eastAsia="仿宋_GB2312" w:cs="Times New Roman"/>
          <w:sz w:val="32"/>
          <w:szCs w:val="32"/>
          <w:highlight w:val="none"/>
          <w:lang w:val="en-US" w:eastAsia="zh-CN"/>
        </w:rPr>
        <w:t>集团自组建以来，持续强化党组织对</w:t>
      </w:r>
      <w:r>
        <w:rPr>
          <w:rFonts w:hint="eastAsia" w:cs="Times New Roman"/>
          <w:sz w:val="32"/>
          <w:szCs w:val="32"/>
          <w:highlight w:val="none"/>
          <w:lang w:val="en-US" w:eastAsia="zh-CN"/>
        </w:rPr>
        <w:t>内部</w:t>
      </w:r>
      <w:r>
        <w:rPr>
          <w:rFonts w:hint="eastAsia" w:ascii="Times New Roman" w:hAnsi="Times New Roman" w:eastAsia="仿宋_GB2312" w:cs="Times New Roman"/>
          <w:sz w:val="32"/>
          <w:szCs w:val="32"/>
          <w:highlight w:val="none"/>
          <w:lang w:val="en-US" w:eastAsia="zh-CN"/>
        </w:rPr>
        <w:t>审计工作“把方向、谋大局、定政策、促改革”的统领作用，建立了在集团党委、董事会领导下开展</w:t>
      </w:r>
      <w:r>
        <w:rPr>
          <w:rFonts w:hint="eastAsia" w:cs="Times New Roman"/>
          <w:sz w:val="32"/>
          <w:szCs w:val="32"/>
          <w:highlight w:val="none"/>
          <w:lang w:val="en-US" w:eastAsia="zh-CN"/>
        </w:rPr>
        <w:t>内部</w:t>
      </w:r>
      <w:r>
        <w:rPr>
          <w:rFonts w:hint="eastAsia" w:ascii="Times New Roman" w:hAnsi="Times New Roman" w:eastAsia="仿宋_GB2312" w:cs="Times New Roman"/>
          <w:sz w:val="32"/>
          <w:szCs w:val="32"/>
          <w:highlight w:val="none"/>
          <w:lang w:val="en-US" w:eastAsia="zh-CN"/>
        </w:rPr>
        <w:t>审计工作，业务上接受董事会</w:t>
      </w:r>
      <w:r>
        <w:rPr>
          <w:rFonts w:hint="eastAsia" w:cs="Times New Roman"/>
          <w:sz w:val="32"/>
          <w:szCs w:val="32"/>
          <w:highlight w:val="none"/>
          <w:lang w:val="en-US" w:eastAsia="zh-CN"/>
        </w:rPr>
        <w:t>、风险</w:t>
      </w:r>
      <w:r>
        <w:rPr>
          <w:rFonts w:hint="eastAsia" w:ascii="Times New Roman" w:hAnsi="Times New Roman" w:eastAsia="仿宋_GB2312" w:cs="Times New Roman"/>
          <w:sz w:val="32"/>
          <w:szCs w:val="32"/>
          <w:highlight w:val="none"/>
          <w:lang w:val="en-US" w:eastAsia="zh-CN"/>
        </w:rPr>
        <w:t>委员会及上级审计机关指导和监督的内部审计领导体制。集团党委作为审计监督体系最高管理和决策机构，前置研究内部审计工作要点、审议审计情况报告及审计整改情况报告，集团党委书记、董事长直接分管审计工作，强化了党对审计工作的领导，从顶层设计上保证了内部审计的权威性和独立性。</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集团建立“集中式+审计专员”的内部审计架构体系。集团总部设立风险合规部承担内部审计职能，配备3名具有丰富行政管理、财务管理、审计经验的专职人员，打造精干、高效的专业内部审计团队。在加强总部审计队伍建设的基础上，二级子公司均配备有专兼职内部审计人员，同时探索在资产规模大、业务风险高的重要二级子公司设立内部审计机构，接受子公司党组织（董事会）的直接领导和集团内部审计机构的业务指导，形成了集中统一、全面覆盖的内部审计组织体系。</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214" w:rightChars="0" w:firstLine="632"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二、坚持制度先行，持续加强</w:t>
      </w:r>
      <w:r>
        <w:rPr>
          <w:rFonts w:hint="default" w:ascii="黑体" w:hAnsi="黑体" w:eastAsia="黑体" w:cs="黑体"/>
          <w:b w:val="0"/>
          <w:bCs w:val="0"/>
          <w:sz w:val="32"/>
          <w:szCs w:val="32"/>
          <w:lang w:val="en-US" w:eastAsia="zh-CN"/>
        </w:rPr>
        <w:t>内审制度建设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集团相继制定和修订一系列内部审计制度，形成了以《内部审计管理办法》为统领，《经济责任审计管理办法》《内部审计工作规范》《审计人员职业道德规范》等专项制度为支撑，覆盖内部审计组织领导和管理体制、职责权限、组织实施、结果运用、责任追究等全过程、闭环管理的内部审计制度体系，建立起标准化的工作机制，同时编制内部审计相关法律法规文件汇编，逐步形成覆盖审计财务等法律法规、规范性文件和行业规定等多个层次的政策法规文件，提高审计工作效率，为更好地发挥内审作用提供了有力保障。</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214" w:rightChars="0" w:firstLine="632"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三、坚持守正创新，探索“风审融合”审计模式</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集团充分发挥内部审计与风险管理、合规管理职能合署办公优势，探索应用</w:t>
      </w:r>
      <w:r>
        <w:rPr>
          <w:rFonts w:hint="eastAsia" w:ascii="Times New Roman" w:hAnsi="Times New Roman" w:eastAsia="仿宋_GB2312" w:cs="Times New Roman"/>
          <w:sz w:val="32"/>
          <w:szCs w:val="32"/>
          <w:highlight w:val="none"/>
        </w:rPr>
        <w:t>“风审融合”协同工作模式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即</w:t>
      </w:r>
      <w:r>
        <w:rPr>
          <w:rFonts w:hint="eastAsia" w:ascii="Times New Roman" w:hAnsi="Times New Roman" w:eastAsia="仿宋_GB2312" w:cs="Times New Roman"/>
          <w:sz w:val="32"/>
          <w:szCs w:val="32"/>
          <w:highlight w:val="none"/>
          <w:lang w:val="en-US" w:eastAsia="zh-CN"/>
        </w:rPr>
        <w:t>集团内部审计工作</w:t>
      </w:r>
      <w:r>
        <w:rPr>
          <w:rFonts w:hint="eastAsia" w:ascii="Times New Roman" w:hAnsi="Times New Roman" w:eastAsia="仿宋_GB2312" w:cs="Times New Roman"/>
          <w:sz w:val="32"/>
          <w:szCs w:val="32"/>
          <w:highlight w:val="none"/>
        </w:rPr>
        <w:t>根据</w:t>
      </w:r>
      <w:r>
        <w:rPr>
          <w:rFonts w:hint="eastAsia" w:ascii="Times New Roman" w:hAnsi="Times New Roman" w:eastAsia="仿宋_GB2312" w:cs="Times New Roman"/>
          <w:sz w:val="32"/>
          <w:szCs w:val="32"/>
          <w:highlight w:val="none"/>
          <w:lang w:val="en-US" w:eastAsia="zh-CN"/>
        </w:rPr>
        <w:t>年度重大风险隐患排查、年度内部控制评价以及日常合规管理工作中监测到的</w:t>
      </w:r>
      <w:r>
        <w:rPr>
          <w:rFonts w:hint="eastAsia" w:ascii="Times New Roman" w:hAnsi="Times New Roman" w:eastAsia="仿宋_GB2312" w:cs="Times New Roman"/>
          <w:sz w:val="32"/>
          <w:szCs w:val="32"/>
          <w:highlight w:val="none"/>
        </w:rPr>
        <w:t>风险</w:t>
      </w:r>
      <w:r>
        <w:rPr>
          <w:rFonts w:hint="eastAsia" w:ascii="Times New Roman" w:hAnsi="Times New Roman" w:eastAsia="仿宋_GB2312" w:cs="Times New Roman"/>
          <w:sz w:val="32"/>
          <w:szCs w:val="32"/>
          <w:highlight w:val="none"/>
          <w:lang w:val="en-US" w:eastAsia="zh-CN"/>
        </w:rPr>
        <w:t>事项</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作</w:t>
      </w:r>
      <w:r>
        <w:rPr>
          <w:rFonts w:hint="eastAsia" w:ascii="Times New Roman" w:hAnsi="Times New Roman" w:eastAsia="仿宋_GB2312" w:cs="Times New Roman"/>
          <w:sz w:val="32"/>
          <w:szCs w:val="32"/>
          <w:highlight w:val="none"/>
        </w:rPr>
        <w:t>为审计线索</w:t>
      </w:r>
      <w:r>
        <w:rPr>
          <w:rFonts w:hint="eastAsia" w:ascii="Times New Roman" w:hAnsi="Times New Roman" w:eastAsia="仿宋_GB2312" w:cs="Times New Roman"/>
          <w:sz w:val="32"/>
          <w:szCs w:val="32"/>
          <w:highlight w:val="none"/>
          <w:lang w:val="en-US" w:eastAsia="zh-CN"/>
        </w:rPr>
        <w:t>将其列</w:t>
      </w:r>
      <w:r>
        <w:rPr>
          <w:rFonts w:hint="eastAsia" w:ascii="Times New Roman" w:hAnsi="Times New Roman" w:eastAsia="仿宋_GB2312" w:cs="Times New Roman"/>
          <w:sz w:val="32"/>
          <w:szCs w:val="32"/>
          <w:lang w:val="en-US" w:eastAsia="zh-CN"/>
        </w:rPr>
        <w:t>入年度审计计划重点关注项目</w:t>
      </w:r>
      <w:r>
        <w:rPr>
          <w:rFonts w:hint="eastAsia" w:ascii="Times New Roman" w:hAnsi="Times New Roman" w:eastAsia="仿宋_GB2312" w:cs="Times New Roman"/>
          <w:sz w:val="32"/>
          <w:szCs w:val="32"/>
        </w:rPr>
        <w:t>，开展专项审计工作</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集团</w:t>
      </w:r>
      <w:r>
        <w:rPr>
          <w:rFonts w:hint="eastAsia" w:ascii="Times New Roman" w:hAnsi="Times New Roman" w:eastAsia="仿宋_GB2312" w:cs="Times New Roman"/>
          <w:sz w:val="32"/>
          <w:szCs w:val="32"/>
          <w:lang w:val="en-US" w:eastAsia="zh-CN"/>
        </w:rPr>
        <w:t>风险管理、内部控制评价和合规管理工作，</w:t>
      </w:r>
      <w:r>
        <w:rPr>
          <w:rFonts w:hint="eastAsia" w:cs="Times New Roman"/>
          <w:sz w:val="32"/>
          <w:szCs w:val="32"/>
          <w:lang w:eastAsia="zh-CN"/>
        </w:rPr>
        <w:t>将审计</w:t>
      </w:r>
      <w:r>
        <w:rPr>
          <w:rFonts w:hint="eastAsia" w:ascii="Times New Roman" w:hAnsi="Times New Roman" w:eastAsia="仿宋_GB2312" w:cs="Times New Roman"/>
          <w:sz w:val="32"/>
          <w:szCs w:val="32"/>
        </w:rPr>
        <w:t>发现的问题，纳入日常监控</w:t>
      </w:r>
      <w:r>
        <w:rPr>
          <w:rFonts w:hint="eastAsia" w:ascii="Times New Roman" w:hAnsi="Times New Roman" w:eastAsia="仿宋_GB2312" w:cs="Times New Roman"/>
          <w:sz w:val="32"/>
          <w:szCs w:val="32"/>
          <w:lang w:val="en-US" w:eastAsia="zh-CN"/>
        </w:rPr>
        <w:t>或定期评</w:t>
      </w:r>
      <w:r>
        <w:rPr>
          <w:rFonts w:hint="eastAsia" w:ascii="Times New Roman" w:hAnsi="Times New Roman" w:eastAsia="仿宋_GB2312" w:cs="Times New Roman"/>
          <w:sz w:val="32"/>
          <w:szCs w:val="32"/>
          <w:highlight w:val="none"/>
          <w:lang w:val="en-US" w:eastAsia="zh-CN"/>
        </w:rPr>
        <w:t>价</w:t>
      </w:r>
      <w:r>
        <w:rPr>
          <w:rFonts w:hint="eastAsia" w:ascii="Times New Roman" w:hAnsi="Times New Roman" w:eastAsia="仿宋_GB2312" w:cs="Times New Roman"/>
          <w:sz w:val="32"/>
          <w:szCs w:val="32"/>
          <w:highlight w:val="none"/>
        </w:rPr>
        <w:t>范围进行监管。</w:t>
      </w:r>
      <w:r>
        <w:rPr>
          <w:rFonts w:hint="eastAsia" w:ascii="Times New Roman" w:hAnsi="Times New Roman" w:eastAsia="仿宋_GB2312" w:cs="Times New Roman"/>
          <w:sz w:val="32"/>
          <w:szCs w:val="32"/>
          <w:highlight w:val="none"/>
          <w:lang w:val="en-US" w:eastAsia="zh-CN"/>
        </w:rPr>
        <w:t>通过内部审计、合规管理、风险管理之间的协同联动，有效缓解了集团审计力量不足的问题，有效推进审计全覆盖，极大地</w:t>
      </w:r>
      <w:r>
        <w:rPr>
          <w:rFonts w:hint="eastAsia" w:ascii="Times New Roman" w:hAnsi="Times New Roman" w:eastAsia="仿宋_GB2312" w:cs="Times New Roman"/>
          <w:sz w:val="32"/>
          <w:szCs w:val="32"/>
          <w:highlight w:val="none"/>
        </w:rPr>
        <w:t>提高</w:t>
      </w:r>
      <w:r>
        <w:rPr>
          <w:rFonts w:hint="eastAsia" w:ascii="Times New Roman" w:hAnsi="Times New Roman" w:eastAsia="仿宋_GB2312" w:cs="Times New Roman"/>
          <w:sz w:val="32"/>
          <w:szCs w:val="32"/>
          <w:highlight w:val="none"/>
          <w:lang w:val="en-US" w:eastAsia="zh-CN"/>
        </w:rPr>
        <w:t>了</w:t>
      </w:r>
      <w:r>
        <w:rPr>
          <w:rFonts w:hint="eastAsia" w:ascii="Times New Roman" w:hAnsi="Times New Roman" w:eastAsia="仿宋_GB2312" w:cs="Times New Roman"/>
          <w:sz w:val="32"/>
          <w:szCs w:val="32"/>
          <w:highlight w:val="none"/>
        </w:rPr>
        <w:t>工作效率</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rPr>
        <w:t>实现1+1大于2的效用。</w:t>
      </w:r>
      <w:r>
        <w:rPr>
          <w:rFonts w:hint="eastAsia" w:ascii="Times New Roman" w:hAnsi="Times New Roman" w:eastAsia="仿宋_GB2312" w:cs="Times New Roman"/>
          <w:b/>
          <w:bCs/>
          <w:sz w:val="32"/>
          <w:szCs w:val="32"/>
          <w:highlight w:val="none"/>
          <w:lang w:val="en-US" w:eastAsia="zh-CN"/>
        </w:rPr>
        <w:t>一是</w:t>
      </w:r>
      <w:r>
        <w:rPr>
          <w:rFonts w:hint="eastAsia" w:ascii="Times New Roman" w:hAnsi="Times New Roman" w:eastAsia="仿宋_GB2312" w:cs="Times New Roman"/>
          <w:b w:val="0"/>
          <w:bCs w:val="0"/>
          <w:sz w:val="32"/>
          <w:szCs w:val="32"/>
          <w:highlight w:val="none"/>
          <w:lang w:val="en-US" w:eastAsia="zh-CN"/>
        </w:rPr>
        <w:t>聚焦高风险管理环节，联合</w:t>
      </w:r>
      <w:r>
        <w:rPr>
          <w:rFonts w:hint="eastAsia" w:ascii="Times New Roman" w:hAnsi="Times New Roman" w:eastAsia="仿宋_GB2312" w:cs="Times New Roman"/>
          <w:sz w:val="32"/>
          <w:szCs w:val="32"/>
          <w:highlight w:val="none"/>
          <w:lang w:val="en-US" w:eastAsia="zh-CN"/>
        </w:rPr>
        <w:t>内部审计和法律合规力量，开展合同管理专项审计，通过对重要子公司合同管理全流程检查，有效促进了合同管理规范化、科学化，提升了合同管理风险防范能力。</w:t>
      </w:r>
      <w:r>
        <w:rPr>
          <w:rFonts w:hint="eastAsia" w:ascii="Times New Roman" w:hAnsi="Times New Roman" w:eastAsia="仿宋_GB2312" w:cs="Times New Roman"/>
          <w:b/>
          <w:bCs/>
          <w:sz w:val="32"/>
          <w:szCs w:val="32"/>
          <w:highlight w:val="none"/>
          <w:lang w:val="en-US" w:eastAsia="zh-CN"/>
        </w:rPr>
        <w:t>二是</w:t>
      </w:r>
      <w:r>
        <w:rPr>
          <w:rFonts w:hint="eastAsia" w:ascii="Times New Roman" w:hAnsi="Times New Roman" w:eastAsia="仿宋_GB2312" w:cs="Times New Roman"/>
          <w:b w:val="0"/>
          <w:bCs w:val="0"/>
          <w:sz w:val="32"/>
          <w:szCs w:val="32"/>
          <w:highlight w:val="none"/>
          <w:lang w:val="en-US" w:eastAsia="zh-CN"/>
        </w:rPr>
        <w:t>聚焦高风险业务领域，对市场化程度较高的子公司开展内部控制制度专项审计，加强投资、运营、采购、对外借款和担保、风险管理等重要领域内部控制建设情况审计，推动集团子公司内控体系优化升级。</w:t>
      </w:r>
      <w:r>
        <w:rPr>
          <w:rFonts w:hint="eastAsia" w:ascii="Times New Roman" w:hAnsi="Times New Roman" w:eastAsia="仿宋_GB2312" w:cs="Times New Roman"/>
          <w:b/>
          <w:bCs/>
          <w:sz w:val="32"/>
          <w:szCs w:val="32"/>
          <w:highlight w:val="none"/>
          <w:lang w:val="en-US" w:eastAsia="zh-CN"/>
        </w:rPr>
        <w:t>三是</w:t>
      </w:r>
      <w:r>
        <w:rPr>
          <w:rFonts w:hint="eastAsia" w:ascii="Times New Roman" w:hAnsi="Times New Roman" w:eastAsia="仿宋_GB2312" w:cs="Times New Roman"/>
          <w:b w:val="0"/>
          <w:bCs w:val="0"/>
          <w:sz w:val="32"/>
          <w:szCs w:val="32"/>
          <w:highlight w:val="none"/>
          <w:lang w:val="en-US" w:eastAsia="zh-CN"/>
        </w:rPr>
        <w:t>聚焦风险防范化解，推动审计监督关口前移，开展重大工程项目全过程跟踪审计，在项目建设期间同步开展阶段性审计，</w:t>
      </w:r>
      <w:r>
        <w:rPr>
          <w:rFonts w:hint="eastAsia" w:ascii="Times New Roman" w:hAnsi="Times New Roman" w:eastAsia="仿宋_GB2312" w:cs="Times New Roman"/>
          <w:sz w:val="32"/>
          <w:szCs w:val="32"/>
          <w:highlight w:val="none"/>
          <w:lang w:val="en-US" w:eastAsia="zh-CN"/>
        </w:rPr>
        <w:t>促进工程项目建设规范管理，进一步发挥审计监督与风险预警协同作用。</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214" w:rightChars="0" w:firstLine="632"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四、坚持“人才强审”，建立内审人才库</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32" w:firstLineChars="200"/>
        <w:jc w:val="both"/>
        <w:textAlignment w:val="auto"/>
        <w:rPr>
          <w:rFonts w:hint="default"/>
          <w:lang w:val="en-US" w:eastAsia="zh-CN"/>
        </w:rPr>
      </w:pPr>
      <w:r>
        <w:rPr>
          <w:rFonts w:hint="eastAsia" w:ascii="Times New Roman" w:hAnsi="Times New Roman" w:eastAsia="仿宋_GB2312" w:cs="Times New Roman"/>
          <w:sz w:val="32"/>
          <w:szCs w:val="32"/>
          <w:lang w:val="en-US" w:eastAsia="zh-CN"/>
        </w:rPr>
        <w:t>集团整合利用系统内部审计人力资源，建立内部审计人才库，打造了一支集财务、法律、工程、信息技术等专业人才在内的复合型内部审计预备队。2022年，集团内部审计人才库入库人员30余人，均为集团部门和所属企业业务知识扎实、实践工作经验丰富的高素质</w:t>
      </w:r>
      <w:r>
        <w:rPr>
          <w:rFonts w:hint="eastAsia" w:ascii="Times New Roman" w:hAnsi="Times New Roman" w:eastAsia="仿宋_GB2312" w:cs="Times New Roman"/>
          <w:sz w:val="32"/>
          <w:szCs w:val="32"/>
          <w:highlight w:val="none"/>
          <w:lang w:val="en-US" w:eastAsia="zh-CN"/>
        </w:rPr>
        <w:t>人才，有效地提升</w:t>
      </w:r>
      <w:r>
        <w:rPr>
          <w:rFonts w:hint="eastAsia" w:ascii="Times New Roman" w:hAnsi="Times New Roman" w:eastAsia="仿宋_GB2312" w:cs="Times New Roman"/>
          <w:sz w:val="32"/>
          <w:szCs w:val="32"/>
          <w:lang w:val="en-US" w:eastAsia="zh-CN"/>
        </w:rPr>
        <w:t>内审综合实力。内审人才库建成当年，就有多名人员参与省审计厅组织的专项审计工作和集团内部审计项目，为集团内部审计工作提供了有力支持。</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214" w:rightChars="0" w:firstLine="632" w:firstLineChars="200"/>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五、坚持标本兼治，提升审计整改质效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仿宋_GB2312" w:cs="Times New Roman"/>
          <w:b w:val="0"/>
          <w:bCs w:val="0"/>
          <w:sz w:val="32"/>
          <w:szCs w:val="32"/>
          <w:highlight w:val="none"/>
          <w:lang w:val="en-US" w:eastAsia="zh-CN"/>
        </w:rPr>
      </w:pPr>
      <w:r>
        <w:rPr>
          <w:rFonts w:hint="eastAsia" w:ascii="Times New Roman" w:hAnsi="Times New Roman" w:eastAsia="仿宋_GB2312" w:cs="Times New Roman"/>
          <w:sz w:val="32"/>
          <w:szCs w:val="32"/>
          <w:lang w:val="en-US" w:eastAsia="zh-CN"/>
        </w:rPr>
        <w:t>集团成立以集团党委书记</w:t>
      </w:r>
      <w:r>
        <w:rPr>
          <w:rFonts w:hint="eastAsia" w:ascii="Times New Roman" w:hAnsi="Times New Roman" w:eastAsia="仿宋_GB2312" w:cs="Times New Roman"/>
          <w:sz w:val="32"/>
          <w:szCs w:val="32"/>
          <w:highlight w:val="none"/>
          <w:lang w:val="en-US" w:eastAsia="zh-CN"/>
        </w:rPr>
        <w:t>、董事长为组长的审计问题整改工作领导小组，实行审计整改对账销号机制、审计整改工作提醒和审计问题整改追踪</w:t>
      </w:r>
      <w:r>
        <w:rPr>
          <w:rFonts w:hint="eastAsia" w:ascii="Times New Roman" w:hAnsi="Times New Roman" w:eastAsia="仿宋_GB2312" w:cs="Times New Roman"/>
          <w:sz w:val="32"/>
          <w:szCs w:val="32"/>
          <w:highlight w:val="none"/>
          <w:u w:val="none"/>
          <w:lang w:val="en-US" w:eastAsia="zh-CN"/>
        </w:rPr>
        <w:t>报告机制。通过制定审计整改方案，</w:t>
      </w:r>
      <w:r>
        <w:rPr>
          <w:rFonts w:hint="eastAsia" w:ascii="Times New Roman" w:hAnsi="Times New Roman" w:eastAsia="仿宋_GB2312" w:cs="Times New Roman"/>
          <w:b w:val="0"/>
          <w:bCs w:val="0"/>
          <w:sz w:val="32"/>
          <w:szCs w:val="32"/>
          <w:highlight w:val="none"/>
          <w:lang w:val="en-US" w:eastAsia="zh-CN"/>
        </w:rPr>
        <w:t>明确整改标准和要求，</w:t>
      </w:r>
      <w:r>
        <w:rPr>
          <w:rFonts w:hint="eastAsia" w:ascii="Times New Roman" w:hAnsi="Times New Roman" w:eastAsia="仿宋_GB2312" w:cs="Times New Roman"/>
          <w:sz w:val="32"/>
          <w:szCs w:val="32"/>
          <w:highlight w:val="none"/>
          <w:lang w:val="en-US" w:eastAsia="zh-CN"/>
        </w:rPr>
        <w:t>形成审计问题整改清单和整改工作台账进行</w:t>
      </w:r>
      <w:r>
        <w:rPr>
          <w:rFonts w:hint="eastAsia" w:ascii="Times New Roman" w:hAnsi="Times New Roman" w:eastAsia="仿宋_GB2312" w:cs="Times New Roman"/>
          <w:sz w:val="32"/>
          <w:szCs w:val="32"/>
          <w:highlight w:val="none"/>
          <w:u w:val="none"/>
          <w:lang w:val="en-US" w:eastAsia="zh-CN"/>
        </w:rPr>
        <w:t>“对账销号”管理，</w:t>
      </w:r>
      <w:r>
        <w:rPr>
          <w:rFonts w:hint="eastAsia" w:ascii="Times New Roman" w:hAnsi="Times New Roman" w:eastAsia="仿宋_GB2312" w:cs="Times New Roman"/>
          <w:sz w:val="32"/>
          <w:szCs w:val="32"/>
          <w:highlight w:val="none"/>
          <w:lang w:val="en-US" w:eastAsia="zh-CN"/>
        </w:rPr>
        <w:t>定期跟踪审计整改进度，对整改结果进行审核确认和持续监督。2022年集团累计通过审计整改制定（修订）管理制度50项，</w:t>
      </w:r>
      <w:r>
        <w:rPr>
          <w:rFonts w:hint="eastAsia" w:ascii="Times New Roman" w:hAnsi="Times New Roman" w:eastAsia="仿宋_GB2312" w:cs="Times New Roman"/>
          <w:sz w:val="32"/>
          <w:szCs w:val="32"/>
          <w:lang w:val="en-US" w:eastAsia="zh-CN"/>
        </w:rPr>
        <w:t>在促进集团健全内控体系、提升风险防控能力方面取得积极成效。</w:t>
      </w:r>
    </w:p>
    <w:p>
      <w:pPr>
        <w:keepNext w:val="0"/>
        <w:keepLines w:val="0"/>
        <w:pageBreakBefore w:val="0"/>
        <w:widowControl w:val="0"/>
        <w:kinsoku/>
        <w:wordWrap/>
        <w:overflowPunct/>
        <w:topLinePunct w:val="0"/>
        <w:autoSpaceDE/>
        <w:autoSpaceDN/>
        <w:bidi w:val="0"/>
        <w:adjustRightInd/>
        <w:snapToGrid/>
        <w:spacing w:line="240" w:lineRule="auto"/>
        <w:jc w:val="both"/>
        <w:rPr>
          <w:rFonts w:hint="default" w:ascii="长城小标宋体" w:hAnsi="长城小标宋体" w:eastAsia="长城小标宋体" w:cs="长城小标宋体"/>
          <w:b w:val="0"/>
          <w:bCs w:val="0"/>
          <w:i w:val="0"/>
          <w:iCs w:val="0"/>
          <w:color w:val="auto"/>
          <w:spacing w:val="0"/>
          <w:sz w:val="44"/>
          <w:szCs w:val="44"/>
          <w:highlight w:val="none"/>
          <w:u w:val="none"/>
          <w:lang w:eastAsia="zh-CN"/>
        </w:rPr>
      </w:pPr>
    </w:p>
    <w:p>
      <w:pPr>
        <w:pStyle w:val="2"/>
        <w:rPr>
          <w:rFonts w:hint="default" w:ascii="长城小标宋体" w:hAnsi="长城小标宋体" w:eastAsia="长城小标宋体" w:cs="长城小标宋体"/>
          <w:b w:val="0"/>
          <w:bCs w:val="0"/>
          <w:i w:val="0"/>
          <w:iCs w:val="0"/>
          <w:color w:val="auto"/>
          <w:spacing w:val="0"/>
          <w:sz w:val="44"/>
          <w:szCs w:val="44"/>
          <w:highlight w:val="none"/>
          <w:u w:val="none"/>
          <w:lang w:eastAsia="zh-CN"/>
        </w:rPr>
      </w:pPr>
    </w:p>
    <w:p>
      <w:pPr>
        <w:pStyle w:val="2"/>
        <w:rPr>
          <w:rFonts w:hint="default" w:ascii="长城小标宋体" w:hAnsi="长城小标宋体" w:eastAsia="长城小标宋体" w:cs="长城小标宋体"/>
          <w:b w:val="0"/>
          <w:bCs w:val="0"/>
          <w:i w:val="0"/>
          <w:iCs w:val="0"/>
          <w:color w:val="auto"/>
          <w:spacing w:val="0"/>
          <w:sz w:val="44"/>
          <w:szCs w:val="44"/>
          <w:highlight w:val="none"/>
          <w:u w:val="none"/>
          <w:lang w:eastAsia="zh-CN"/>
        </w:rPr>
      </w:pPr>
    </w:p>
    <w:p>
      <w:pPr>
        <w:pStyle w:val="2"/>
        <w:rPr>
          <w:rFonts w:hint="default" w:ascii="长城小标宋体" w:hAnsi="长城小标宋体" w:eastAsia="长城小标宋体" w:cs="长城小标宋体"/>
          <w:b w:val="0"/>
          <w:bCs w:val="0"/>
          <w:i w:val="0"/>
          <w:iCs w:val="0"/>
          <w:color w:val="auto"/>
          <w:spacing w:val="0"/>
          <w:sz w:val="44"/>
          <w:szCs w:val="44"/>
          <w:highlight w:val="none"/>
          <w:u w:val="none"/>
          <w:lang w:eastAsia="zh-CN"/>
        </w:rPr>
      </w:pPr>
    </w:p>
    <w:p>
      <w:pPr>
        <w:pStyle w:val="2"/>
        <w:rPr>
          <w:rFonts w:hint="default" w:ascii="长城小标宋体" w:hAnsi="长城小标宋体" w:eastAsia="长城小标宋体" w:cs="长城小标宋体"/>
          <w:b w:val="0"/>
          <w:bCs w:val="0"/>
          <w:i w:val="0"/>
          <w:iCs w:val="0"/>
          <w:color w:val="auto"/>
          <w:spacing w:val="0"/>
          <w:sz w:val="44"/>
          <w:szCs w:val="44"/>
          <w:highlight w:val="none"/>
          <w:u w:val="none"/>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长城小标宋体" w:hAnsi="长城小标宋体" w:eastAsia="长城小标宋体" w:cs="长城小标宋体"/>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长城小标宋体" w:hAnsi="长城小标宋体" w:eastAsia="长城小标宋体" w:cs="长城小标宋体"/>
          <w:sz w:val="44"/>
          <w:szCs w:val="44"/>
          <w:lang w:val="en-US" w:eastAsia="zh-CN"/>
        </w:rPr>
      </w:pPr>
      <w:r>
        <w:rPr>
          <w:rFonts w:hint="eastAsia" w:ascii="长城小标宋体" w:hAnsi="长城小标宋体" w:eastAsia="长城小标宋体" w:cs="长城小标宋体"/>
          <w:sz w:val="44"/>
          <w:szCs w:val="44"/>
          <w:lang w:val="en-US" w:eastAsia="zh-CN"/>
        </w:rPr>
        <w:t>河南中豫国际港务集团</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长城小标宋体" w:hAnsi="长城小标宋体" w:eastAsia="长城小标宋体" w:cs="长城小标宋体"/>
          <w:sz w:val="44"/>
          <w:szCs w:val="44"/>
          <w:lang w:val="en-US" w:eastAsia="zh-CN"/>
        </w:rPr>
      </w:pPr>
      <w:r>
        <w:rPr>
          <w:rFonts w:hint="eastAsia" w:ascii="长城小标宋体" w:hAnsi="长城小标宋体" w:eastAsia="长城小标宋体" w:cs="长城小标宋体"/>
          <w:sz w:val="44"/>
          <w:szCs w:val="44"/>
          <w:lang w:val="en-US" w:eastAsia="zh-CN"/>
        </w:rPr>
        <w:t>提升内部审计监督效能  助力改革促发展</w:t>
      </w:r>
    </w:p>
    <w:p>
      <w:pPr>
        <w:keepNext w:val="0"/>
        <w:keepLines w:val="0"/>
        <w:pageBreakBefore w:val="0"/>
        <w:widowControl w:val="0"/>
        <w:kinsoku/>
        <w:wordWrap/>
        <w:overflowPunct/>
        <w:topLinePunct w:val="0"/>
        <w:autoSpaceDE/>
        <w:autoSpaceDN/>
        <w:bidi w:val="0"/>
        <w:adjustRightInd/>
        <w:snapToGrid/>
        <w:spacing w:line="240" w:lineRule="auto"/>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664" w:firstLineChars="200"/>
        <w:jc w:val="left"/>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i w:val="0"/>
          <w:iCs w:val="0"/>
          <w:color w:val="auto"/>
          <w:spacing w:val="8"/>
          <w:sz w:val="32"/>
          <w:szCs w:val="32"/>
          <w:highlight w:val="none"/>
          <w:shd w:val="clear" w:color="auto" w:fill="FFFFFF"/>
          <w:lang w:eastAsia="zh-CN"/>
        </w:rPr>
        <w:t>河南中豫国际港务集团</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lang w:eastAsia="zh-CN"/>
        </w:rPr>
        <w:t>以下简称</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highlight w:val="none"/>
          <w:lang w:val="en-US" w:eastAsia="zh-CN"/>
        </w:rPr>
        <w:t>集团”）</w:t>
      </w:r>
      <w:r>
        <w:rPr>
          <w:rFonts w:hint="eastAsia" w:cs="Times New Roman"/>
          <w:i w:val="0"/>
          <w:iCs w:val="0"/>
          <w:color w:val="auto"/>
          <w:spacing w:val="8"/>
          <w:sz w:val="32"/>
          <w:szCs w:val="32"/>
          <w:highlight w:val="none"/>
          <w:shd w:val="clear" w:color="auto" w:fill="FFFFFF"/>
          <w:lang w:eastAsia="zh-CN"/>
        </w:rPr>
        <w:t>严格按照</w:t>
      </w:r>
      <w:r>
        <w:rPr>
          <w:rFonts w:hint="default" w:ascii="Times New Roman" w:hAnsi="Times New Roman" w:eastAsia="仿宋_GB2312" w:cs="Times New Roman"/>
          <w:i w:val="0"/>
          <w:iCs w:val="0"/>
          <w:color w:val="auto"/>
          <w:spacing w:val="8"/>
          <w:sz w:val="32"/>
          <w:szCs w:val="32"/>
          <w:highlight w:val="none"/>
          <w:shd w:val="clear" w:color="auto" w:fill="FFFFFF"/>
        </w:rPr>
        <w:t>省国资委</w:t>
      </w:r>
      <w:r>
        <w:rPr>
          <w:rFonts w:hint="default" w:ascii="Times New Roman" w:hAnsi="Times New Roman" w:eastAsia="仿宋_GB2312" w:cs="Times New Roman"/>
          <w:i w:val="0"/>
          <w:iCs w:val="0"/>
          <w:color w:val="auto"/>
          <w:spacing w:val="8"/>
          <w:sz w:val="32"/>
          <w:szCs w:val="32"/>
          <w:highlight w:val="none"/>
          <w:shd w:val="clear" w:color="auto" w:fill="FFFFFF"/>
          <w:lang w:eastAsia="zh-CN"/>
        </w:rPr>
        <w:t>、省</w:t>
      </w:r>
      <w:r>
        <w:rPr>
          <w:rFonts w:hint="default" w:ascii="Times New Roman" w:hAnsi="Times New Roman" w:eastAsia="仿宋_GB2312" w:cs="Times New Roman"/>
          <w:b w:val="0"/>
          <w:i w:val="0"/>
          <w:color w:val="auto"/>
          <w:spacing w:val="0"/>
          <w:w w:val="100"/>
          <w:sz w:val="32"/>
          <w:szCs w:val="32"/>
          <w:highlight w:val="none"/>
          <w:lang w:val="en-US" w:eastAsia="zh-CN"/>
        </w:rPr>
        <w:t>审计厅</w:t>
      </w:r>
      <w:r>
        <w:rPr>
          <w:rFonts w:hint="eastAsia" w:cs="Times New Roman"/>
          <w:b w:val="0"/>
          <w:i w:val="0"/>
          <w:color w:val="auto"/>
          <w:spacing w:val="0"/>
          <w:w w:val="100"/>
          <w:sz w:val="32"/>
          <w:szCs w:val="32"/>
          <w:highlight w:val="none"/>
          <w:lang w:val="en-US" w:eastAsia="zh-CN"/>
        </w:rPr>
        <w:t>部署要求</w:t>
      </w:r>
      <w:r>
        <w:rPr>
          <w:rFonts w:hint="default" w:ascii="Times New Roman" w:hAnsi="Times New Roman" w:eastAsia="仿宋_GB2312" w:cs="Times New Roman"/>
          <w:b w:val="0"/>
          <w:i w:val="0"/>
          <w:color w:val="auto"/>
          <w:spacing w:val="0"/>
          <w:w w:val="100"/>
          <w:sz w:val="32"/>
          <w:szCs w:val="32"/>
          <w:highlight w:val="none"/>
          <w:lang w:val="en-US" w:eastAsia="zh-CN"/>
        </w:rPr>
        <w:t>，</w:t>
      </w:r>
      <w:r>
        <w:rPr>
          <w:rFonts w:hint="eastAsia" w:cs="Times New Roman"/>
          <w:b w:val="0"/>
          <w:i w:val="0"/>
          <w:color w:val="auto"/>
          <w:spacing w:val="0"/>
          <w:w w:val="100"/>
          <w:sz w:val="32"/>
          <w:szCs w:val="32"/>
          <w:highlight w:val="none"/>
          <w:lang w:val="en-US" w:eastAsia="zh-CN"/>
        </w:rPr>
        <w:t>高度重视内部审计工作</w:t>
      </w:r>
      <w:r>
        <w:rPr>
          <w:rFonts w:hint="default" w:ascii="Times New Roman" w:hAnsi="Times New Roman" w:eastAsia="仿宋_GB2312" w:cs="Times New Roman"/>
          <w:b w:val="0"/>
          <w:i w:val="0"/>
          <w:color w:val="auto"/>
          <w:spacing w:val="0"/>
          <w:w w:val="100"/>
          <w:sz w:val="32"/>
          <w:szCs w:val="32"/>
          <w:highlight w:val="none"/>
          <w:lang w:val="en-US" w:eastAsia="zh-CN"/>
        </w:rPr>
        <w:t>，坚持“经济体检”这一新时代审计职责定位，</w:t>
      </w:r>
      <w:r>
        <w:rPr>
          <w:rFonts w:hint="default" w:ascii="Times New Roman" w:hAnsi="Times New Roman" w:eastAsia="仿宋_GB2312" w:cs="Times New Roman"/>
          <w:color w:val="auto"/>
          <w:sz w:val="32"/>
          <w:szCs w:val="32"/>
          <w:highlight w:val="none"/>
        </w:rPr>
        <w:t>紧紧围绕</w:t>
      </w:r>
      <w:r>
        <w:rPr>
          <w:rFonts w:hint="default" w:ascii="Times New Roman" w:hAnsi="Times New Roman" w:eastAsia="仿宋_GB2312" w:cs="Times New Roman"/>
          <w:i w:val="0"/>
          <w:iCs w:val="0"/>
          <w:color w:val="auto"/>
          <w:spacing w:val="8"/>
          <w:sz w:val="32"/>
          <w:szCs w:val="32"/>
          <w:highlight w:val="none"/>
          <w:shd w:val="clear" w:color="auto" w:fill="FFFFFF"/>
          <w:lang w:val="en-US" w:eastAsia="zh-CN"/>
        </w:rPr>
        <w:t>形成以管资本为主的国有资产监管体制和集团</w:t>
      </w:r>
      <w:r>
        <w:rPr>
          <w:rFonts w:hint="default" w:ascii="Times New Roman" w:hAnsi="Times New Roman" w:eastAsia="仿宋_GB2312" w:cs="Times New Roman"/>
          <w:color w:val="auto"/>
          <w:sz w:val="32"/>
          <w:szCs w:val="32"/>
          <w:highlight w:val="none"/>
        </w:rPr>
        <w:t xml:space="preserve">“以增强经济效益为中心” </w:t>
      </w:r>
      <w:r>
        <w:rPr>
          <w:rFonts w:hint="default" w:ascii="Times New Roman" w:hAnsi="Times New Roman" w:eastAsia="仿宋_GB2312"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highlight w:val="none"/>
        </w:rPr>
        <w:t>工作要求，</w:t>
      </w:r>
      <w:r>
        <w:rPr>
          <w:rFonts w:hint="default" w:ascii="Times New Roman" w:hAnsi="Times New Roman" w:eastAsia="仿宋_GB2312" w:cs="Times New Roman"/>
          <w:b w:val="0"/>
          <w:i w:val="0"/>
          <w:color w:val="auto"/>
          <w:spacing w:val="0"/>
          <w:w w:val="100"/>
          <w:sz w:val="32"/>
          <w:szCs w:val="32"/>
          <w:highlight w:val="none"/>
          <w:lang w:val="en-US" w:eastAsia="zh-CN"/>
        </w:rPr>
        <w:t>找准方向、主动作为、认真履责，</w:t>
      </w:r>
      <w:r>
        <w:rPr>
          <w:rFonts w:hint="default" w:ascii="Times New Roman" w:hAnsi="Times New Roman" w:eastAsia="仿宋_GB2312" w:cs="Times New Roman"/>
          <w:b w:val="0"/>
          <w:bCs w:val="0"/>
          <w:color w:val="auto"/>
          <w:sz w:val="32"/>
          <w:szCs w:val="32"/>
          <w:highlight w:val="none"/>
          <w:lang w:val="en-US" w:eastAsia="zh-CN"/>
        </w:rPr>
        <w:t>按照每年制定的</w:t>
      </w:r>
      <w:r>
        <w:rPr>
          <w:rFonts w:hint="eastAsia" w:cs="Times New Roman"/>
          <w:b w:val="0"/>
          <w:bCs w:val="0"/>
          <w:color w:val="auto"/>
          <w:sz w:val="32"/>
          <w:szCs w:val="32"/>
          <w:highlight w:val="none"/>
          <w:lang w:val="en-US" w:eastAsia="zh-CN"/>
        </w:rPr>
        <w:t>内部</w:t>
      </w:r>
      <w:r>
        <w:rPr>
          <w:rFonts w:hint="default" w:ascii="Times New Roman" w:hAnsi="Times New Roman" w:eastAsia="仿宋_GB2312" w:cs="Times New Roman"/>
          <w:b w:val="0"/>
          <w:bCs w:val="0"/>
          <w:color w:val="auto"/>
          <w:sz w:val="32"/>
          <w:szCs w:val="32"/>
          <w:highlight w:val="none"/>
          <w:lang w:val="en-US" w:eastAsia="zh-CN"/>
        </w:rPr>
        <w:t>审计计划，稳妥有序地开展内部审计工作。</w:t>
      </w:r>
      <w:r>
        <w:rPr>
          <w:rFonts w:hint="default" w:ascii="Times New Roman" w:hAnsi="Times New Roman" w:eastAsia="仿宋_GB2312" w:cs="Times New Roman"/>
          <w:i w:val="0"/>
          <w:iCs w:val="0"/>
          <w:color w:val="auto"/>
          <w:spacing w:val="8"/>
          <w:sz w:val="32"/>
          <w:szCs w:val="32"/>
          <w:highlight w:val="none"/>
          <w:shd w:val="clear" w:color="auto" w:fill="FFFFFF"/>
          <w:lang w:val="en-US" w:eastAsia="zh-CN"/>
        </w:rPr>
        <w:t>充分发挥内部审计对规范企业内部管理、防范控制风险、促进廉政建设重要作用，助力集团高质量发展。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32"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一、坚持党的统一领导，工作落实畅通有效</w:t>
      </w:r>
    </w:p>
    <w:p>
      <w:pPr>
        <w:keepNext w:val="0"/>
        <w:keepLines w:val="0"/>
        <w:pageBreakBefore w:val="0"/>
        <w:widowControl w:val="0"/>
        <w:kinsoku/>
        <w:wordWrap/>
        <w:overflowPunct/>
        <w:topLinePunct w:val="0"/>
        <w:autoSpaceDE/>
        <w:autoSpaceDN/>
        <w:bidi w:val="0"/>
        <w:adjustRightInd/>
        <w:snapToGrid/>
        <w:spacing w:line="560" w:lineRule="atLeast"/>
        <w:ind w:firstLine="63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集团审计部在</w:t>
      </w:r>
      <w:r>
        <w:rPr>
          <w:rFonts w:hint="default" w:ascii="Times New Roman" w:hAnsi="Times New Roman" w:eastAsia="仿宋_GB2312" w:cs="Times New Roman"/>
          <w:color w:val="auto"/>
          <w:sz w:val="32"/>
          <w:szCs w:val="32"/>
          <w:highlight w:val="none"/>
          <w:lang w:eastAsia="zh-CN"/>
        </w:rPr>
        <w:t>单位党组织</w:t>
      </w:r>
      <w:r>
        <w:rPr>
          <w:rFonts w:hint="default" w:ascii="Times New Roman" w:hAnsi="Times New Roman" w:eastAsia="仿宋_GB2312" w:cs="Times New Roman"/>
          <w:color w:val="auto"/>
          <w:sz w:val="32"/>
          <w:szCs w:val="32"/>
          <w:highlight w:val="none"/>
        </w:rPr>
        <w:t>、主要负责人直接领导下开展工作，向其负责并报告工作。集团明确一名领导班子成员协助董事长</w:t>
      </w:r>
      <w:r>
        <w:rPr>
          <w:rFonts w:hint="default" w:ascii="Times New Roman" w:hAnsi="Times New Roman" w:eastAsia="仿宋_GB2312" w:cs="Times New Roman"/>
          <w:color w:val="auto"/>
          <w:sz w:val="32"/>
          <w:szCs w:val="32"/>
          <w:highlight w:val="none"/>
          <w:lang w:eastAsia="zh-CN"/>
        </w:rPr>
        <w:t>分管</w:t>
      </w:r>
      <w:r>
        <w:rPr>
          <w:rFonts w:hint="eastAsia" w:cs="Times New Roman"/>
          <w:color w:val="auto"/>
          <w:sz w:val="32"/>
          <w:szCs w:val="32"/>
          <w:highlight w:val="none"/>
          <w:lang w:eastAsia="zh-CN"/>
        </w:rPr>
        <w:t>内部</w:t>
      </w:r>
      <w:r>
        <w:rPr>
          <w:rFonts w:hint="default" w:ascii="Times New Roman" w:hAnsi="Times New Roman" w:eastAsia="仿宋_GB2312" w:cs="Times New Roman"/>
          <w:color w:val="auto"/>
          <w:sz w:val="32"/>
          <w:szCs w:val="32"/>
          <w:highlight w:val="none"/>
        </w:rPr>
        <w:t>审计工作</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同时设</w:t>
      </w:r>
      <w:r>
        <w:rPr>
          <w:rFonts w:hint="default" w:ascii="Times New Roman" w:hAnsi="Times New Roman" w:eastAsia="仿宋_GB2312" w:cs="Times New Roman"/>
          <w:color w:val="auto"/>
          <w:spacing w:val="0"/>
          <w:sz w:val="32"/>
          <w:szCs w:val="32"/>
          <w:highlight w:val="none"/>
          <w:lang w:val="en-US" w:eastAsia="zh-CN"/>
        </w:rPr>
        <w:t>政治能力强、业务素质过硬的</w:t>
      </w:r>
      <w:r>
        <w:rPr>
          <w:rFonts w:hint="default" w:ascii="Times New Roman" w:hAnsi="Times New Roman" w:eastAsia="仿宋_GB2312" w:cs="Times New Roman"/>
          <w:color w:val="auto"/>
          <w:sz w:val="32"/>
          <w:szCs w:val="32"/>
          <w:highlight w:val="none"/>
          <w:lang w:val="en-US" w:eastAsia="zh-CN"/>
        </w:rPr>
        <w:t>副总审计师</w:t>
      </w:r>
      <w:r>
        <w:rPr>
          <w:rFonts w:hint="default" w:ascii="Times New Roman" w:hAnsi="Times New Roman" w:eastAsia="仿宋_GB2312" w:cs="Times New Roman"/>
          <w:color w:val="auto"/>
          <w:sz w:val="32"/>
          <w:szCs w:val="32"/>
          <w:highlight w:val="none"/>
        </w:rPr>
        <w:t>，为</w:t>
      </w:r>
      <w:r>
        <w:rPr>
          <w:rFonts w:hint="default" w:ascii="Times New Roman" w:hAnsi="Times New Roman" w:eastAsia="仿宋_GB2312" w:cs="Times New Roman"/>
          <w:color w:val="auto"/>
          <w:sz w:val="32"/>
          <w:szCs w:val="32"/>
          <w:highlight w:val="none"/>
          <w:lang w:eastAsia="zh-CN"/>
        </w:rPr>
        <w:t>内部</w:t>
      </w:r>
      <w:r>
        <w:rPr>
          <w:rFonts w:hint="default" w:ascii="Times New Roman" w:hAnsi="Times New Roman" w:eastAsia="仿宋_GB2312" w:cs="Times New Roman"/>
          <w:color w:val="auto"/>
          <w:sz w:val="32"/>
          <w:szCs w:val="32"/>
          <w:highlight w:val="none"/>
        </w:rPr>
        <w:t>审计工作的有效开展提供了坚强的政治保障和组织保障</w:t>
      </w:r>
      <w:r>
        <w:rPr>
          <w:rFonts w:hint="default" w:ascii="Times New Roman" w:hAnsi="Times New Roman" w:eastAsia="仿宋_GB2312" w:cs="Times New Roman"/>
          <w:color w:val="auto"/>
          <w:sz w:val="32"/>
          <w:szCs w:val="32"/>
          <w:highlight w:val="none"/>
          <w:lang w:val="en-US" w:eastAsia="zh-CN"/>
        </w:rPr>
        <w:t>。通过强有力的组织体系，</w:t>
      </w:r>
      <w:r>
        <w:rPr>
          <w:rFonts w:hint="default" w:ascii="Times New Roman" w:hAnsi="Times New Roman" w:eastAsia="仿宋_GB2312" w:cs="Times New Roman"/>
          <w:color w:val="auto"/>
          <w:sz w:val="32"/>
          <w:szCs w:val="32"/>
          <w:highlight w:val="none"/>
        </w:rPr>
        <w:t>将集团党委把方向、管大局、促规范的整体要求贯穿于谋划内部审计工作、履行内部审计职责、</w:t>
      </w:r>
      <w:r>
        <w:rPr>
          <w:rFonts w:hint="default" w:ascii="Times New Roman" w:hAnsi="Times New Roman" w:eastAsia="仿宋_GB2312" w:cs="Times New Roman"/>
          <w:color w:val="auto"/>
          <w:sz w:val="32"/>
          <w:szCs w:val="32"/>
          <w:highlight w:val="none"/>
          <w:lang w:eastAsia="zh-CN"/>
        </w:rPr>
        <w:t>开展</w:t>
      </w:r>
      <w:r>
        <w:rPr>
          <w:rFonts w:hint="default" w:ascii="Times New Roman" w:hAnsi="Times New Roman" w:eastAsia="仿宋_GB2312" w:cs="Times New Roman"/>
          <w:color w:val="auto"/>
          <w:sz w:val="32"/>
          <w:szCs w:val="32"/>
          <w:highlight w:val="none"/>
        </w:rPr>
        <w:t>内部审计项目的全过程，增强内部审计服务保障能力。</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atLeast"/>
        <w:ind w:firstLine="632"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黑体" w:hAnsi="黑体" w:eastAsia="黑体" w:cs="黑体"/>
          <w:sz w:val="32"/>
          <w:szCs w:val="32"/>
          <w:lang w:val="en-US" w:eastAsia="zh-CN"/>
        </w:rPr>
        <w:t>二、强化统一管控能力，规范开展内部审计工作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32" w:firstLineChars="200"/>
        <w:textAlignment w:val="auto"/>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（一）建立健全内部审计制度，规范内部审计行为</w:t>
      </w:r>
    </w:p>
    <w:p>
      <w:pPr>
        <w:keepNext w:val="0"/>
        <w:keepLines w:val="0"/>
        <w:pageBreakBefore w:val="0"/>
        <w:widowControl w:val="0"/>
        <w:kinsoku/>
        <w:wordWrap/>
        <w:overflowPunct/>
        <w:topLinePunct w:val="0"/>
        <w:autoSpaceDE/>
        <w:autoSpaceDN/>
        <w:bidi w:val="0"/>
        <w:adjustRightInd/>
        <w:snapToGrid/>
        <w:spacing w:line="560" w:lineRule="atLeast"/>
        <w:ind w:firstLine="632"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val="0"/>
          <w:bCs w:val="0"/>
          <w:i w:val="0"/>
          <w:color w:val="auto"/>
          <w:spacing w:val="0"/>
          <w:w w:val="100"/>
          <w:sz w:val="32"/>
          <w:szCs w:val="32"/>
          <w:highlight w:val="none"/>
          <w:lang w:val="en-US" w:eastAsia="zh-CN"/>
        </w:rPr>
        <w:t>集团以“制度为先、制度管事、制度管人”的现代化管理理念，推动集团更健康更持续更大步伐的前行。根据集团公司的发展需要和省国资委内部审计工作要求，通过建立一个、修订一个、完善一个的“小步快跑”思路，逐步建立起较为</w:t>
      </w:r>
      <w:r>
        <w:rPr>
          <w:rFonts w:hint="default" w:ascii="Times New Roman" w:hAnsi="Times New Roman" w:eastAsia="仿宋_GB2312" w:cs="Times New Roman"/>
          <w:b w:val="0"/>
          <w:i w:val="0"/>
          <w:color w:val="auto"/>
          <w:spacing w:val="0"/>
          <w:w w:val="100"/>
          <w:sz w:val="32"/>
          <w:szCs w:val="32"/>
          <w:highlight w:val="none"/>
        </w:rPr>
        <w:t>完善</w:t>
      </w:r>
      <w:r>
        <w:rPr>
          <w:rFonts w:hint="default" w:ascii="Times New Roman" w:hAnsi="Times New Roman" w:eastAsia="仿宋_GB2312" w:cs="Times New Roman"/>
          <w:b w:val="0"/>
          <w:i w:val="0"/>
          <w:color w:val="auto"/>
          <w:spacing w:val="0"/>
          <w:w w:val="100"/>
          <w:sz w:val="32"/>
          <w:szCs w:val="32"/>
          <w:highlight w:val="none"/>
          <w:lang w:eastAsia="zh-CN"/>
        </w:rPr>
        <w:t>的</w:t>
      </w:r>
      <w:r>
        <w:rPr>
          <w:rFonts w:hint="default" w:ascii="Times New Roman" w:hAnsi="Times New Roman" w:eastAsia="仿宋_GB2312" w:cs="Times New Roman"/>
          <w:b w:val="0"/>
          <w:i w:val="0"/>
          <w:color w:val="auto"/>
          <w:spacing w:val="0"/>
          <w:w w:val="100"/>
          <w:sz w:val="32"/>
          <w:szCs w:val="32"/>
          <w:highlight w:val="none"/>
          <w:lang w:val="en-US" w:eastAsia="zh-CN"/>
        </w:rPr>
        <w:t>内部审计制度</w:t>
      </w:r>
      <w:r>
        <w:rPr>
          <w:rFonts w:hint="default" w:ascii="Times New Roman" w:hAnsi="Times New Roman" w:eastAsia="仿宋_GB2312" w:cs="Times New Roman"/>
          <w:b w:val="0"/>
          <w:i w:val="0"/>
          <w:color w:val="auto"/>
          <w:spacing w:val="0"/>
          <w:w w:val="100"/>
          <w:sz w:val="32"/>
          <w:szCs w:val="32"/>
          <w:highlight w:val="none"/>
        </w:rPr>
        <w:t>。对</w:t>
      </w:r>
      <w:r>
        <w:rPr>
          <w:rFonts w:hint="default" w:ascii="Times New Roman" w:hAnsi="Times New Roman" w:eastAsia="仿宋_GB2312" w:cs="Times New Roman"/>
          <w:b w:val="0"/>
          <w:i w:val="0"/>
          <w:color w:val="auto"/>
          <w:spacing w:val="0"/>
          <w:w w:val="100"/>
          <w:sz w:val="32"/>
          <w:szCs w:val="32"/>
          <w:highlight w:val="none"/>
          <w:lang w:val="en-US" w:eastAsia="zh-CN"/>
        </w:rPr>
        <w:t>内部审计方向、目标、方法、</w:t>
      </w:r>
      <w:r>
        <w:rPr>
          <w:rFonts w:hint="default" w:ascii="Times New Roman" w:hAnsi="Times New Roman" w:eastAsia="仿宋_GB2312" w:cs="Times New Roman"/>
          <w:b w:val="0"/>
          <w:i w:val="0"/>
          <w:color w:val="auto"/>
          <w:spacing w:val="0"/>
          <w:w w:val="100"/>
          <w:sz w:val="32"/>
          <w:szCs w:val="32"/>
          <w:highlight w:val="none"/>
        </w:rPr>
        <w:t>实施步骤、整改、监督等各环节予以优化明确并做出详细说明，为审计人员开展</w:t>
      </w:r>
      <w:r>
        <w:rPr>
          <w:rFonts w:hint="default" w:ascii="Times New Roman" w:hAnsi="Times New Roman" w:eastAsia="仿宋_GB2312" w:cs="Times New Roman"/>
          <w:b w:val="0"/>
          <w:i w:val="0"/>
          <w:color w:val="auto"/>
          <w:spacing w:val="0"/>
          <w:w w:val="100"/>
          <w:sz w:val="32"/>
          <w:szCs w:val="32"/>
          <w:highlight w:val="none"/>
          <w:lang w:val="en-US" w:eastAsia="zh-CN"/>
        </w:rPr>
        <w:t>内部</w:t>
      </w:r>
      <w:r>
        <w:rPr>
          <w:rFonts w:hint="default" w:ascii="Times New Roman" w:hAnsi="Times New Roman" w:eastAsia="仿宋_GB2312" w:cs="Times New Roman"/>
          <w:b w:val="0"/>
          <w:i w:val="0"/>
          <w:color w:val="auto"/>
          <w:spacing w:val="0"/>
          <w:w w:val="100"/>
          <w:sz w:val="32"/>
          <w:szCs w:val="32"/>
          <w:highlight w:val="none"/>
        </w:rPr>
        <w:t>审计工作提供了规范化指引。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32" w:firstLineChars="200"/>
        <w:textAlignment w:val="auto"/>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（二）加强审计过程管理，持续推动内部审计标准化建设</w:t>
      </w:r>
    </w:p>
    <w:p>
      <w:pPr>
        <w:pStyle w:val="29"/>
        <w:keepNext w:val="0"/>
        <w:keepLines w:val="0"/>
        <w:pageBreakBefore w:val="0"/>
        <w:widowControl w:val="0"/>
        <w:kinsoku/>
        <w:wordWrap/>
        <w:overflowPunct/>
        <w:topLinePunct w:val="0"/>
        <w:autoSpaceDE/>
        <w:autoSpaceDN/>
        <w:bidi w:val="0"/>
        <w:adjustRightInd/>
        <w:snapToGrid/>
        <w:spacing w:line="560" w:lineRule="atLeas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val="0"/>
          <w:bCs w:val="0"/>
          <w:color w:val="auto"/>
          <w:sz w:val="32"/>
          <w:szCs w:val="32"/>
          <w:highlight w:val="none"/>
          <w:lang w:val="en-US" w:eastAsia="zh-CN"/>
        </w:rPr>
        <w:t>推进标准化建设，降低认知差异形成的风险，有效提升内部审计质量和效率。</w:t>
      </w:r>
      <w:r>
        <w:rPr>
          <w:rFonts w:hint="default" w:ascii="Times New Roman" w:hAnsi="Times New Roman" w:eastAsia="仿宋_GB2312" w:cs="Times New Roman"/>
          <w:b w:val="0"/>
          <w:bCs w:val="0"/>
          <w:color w:val="auto"/>
          <w:sz w:val="32"/>
          <w:szCs w:val="32"/>
          <w:highlight w:val="none"/>
        </w:rPr>
        <w:t>一是强化管理，审计流程标准化。明</w:t>
      </w:r>
      <w:r>
        <w:rPr>
          <w:rFonts w:hint="default" w:ascii="Times New Roman" w:hAnsi="Times New Roman" w:eastAsia="仿宋_GB2312" w:cs="Times New Roman"/>
          <w:color w:val="auto"/>
          <w:sz w:val="32"/>
          <w:szCs w:val="32"/>
          <w:highlight w:val="none"/>
        </w:rPr>
        <w:t>确审计实施过程中</w:t>
      </w:r>
      <w:r>
        <w:rPr>
          <w:rFonts w:hint="default" w:ascii="Times New Roman" w:hAnsi="Times New Roman" w:eastAsia="仿宋_GB2312" w:cs="Times New Roman"/>
          <w:color w:val="auto"/>
          <w:sz w:val="32"/>
          <w:szCs w:val="32"/>
          <w:highlight w:val="none"/>
          <w:lang w:eastAsia="zh-CN"/>
        </w:rPr>
        <w:t>内部</w:t>
      </w:r>
      <w:r>
        <w:rPr>
          <w:rFonts w:hint="default" w:ascii="Times New Roman" w:hAnsi="Times New Roman" w:eastAsia="仿宋_GB2312" w:cs="Times New Roman"/>
          <w:color w:val="auto"/>
          <w:sz w:val="32"/>
          <w:szCs w:val="32"/>
          <w:highlight w:val="none"/>
        </w:rPr>
        <w:t>审计</w:t>
      </w:r>
      <w:r>
        <w:rPr>
          <w:rFonts w:hint="default" w:ascii="Times New Roman" w:hAnsi="Times New Roman" w:eastAsia="仿宋_GB2312" w:cs="Times New Roman"/>
          <w:color w:val="auto"/>
          <w:sz w:val="32"/>
          <w:szCs w:val="32"/>
          <w:highlight w:val="none"/>
          <w:lang w:eastAsia="zh-CN"/>
        </w:rPr>
        <w:t>部门</w:t>
      </w:r>
      <w:r>
        <w:rPr>
          <w:rFonts w:hint="default" w:ascii="Times New Roman" w:hAnsi="Times New Roman" w:eastAsia="仿宋_GB2312" w:cs="Times New Roman"/>
          <w:color w:val="auto"/>
          <w:sz w:val="32"/>
          <w:szCs w:val="32"/>
          <w:highlight w:val="none"/>
        </w:rPr>
        <w:t>的职责和</w:t>
      </w:r>
      <w:r>
        <w:rPr>
          <w:rFonts w:hint="default" w:ascii="Times New Roman" w:hAnsi="Times New Roman" w:eastAsia="仿宋_GB2312" w:cs="Times New Roman"/>
          <w:color w:val="auto"/>
          <w:sz w:val="32"/>
          <w:szCs w:val="32"/>
          <w:highlight w:val="none"/>
          <w:lang w:eastAsia="zh-CN"/>
        </w:rPr>
        <w:t>权限</w:t>
      </w:r>
      <w:r>
        <w:rPr>
          <w:rFonts w:hint="default" w:ascii="Times New Roman" w:hAnsi="Times New Roman" w:eastAsia="仿宋_GB2312" w:cs="Times New Roman"/>
          <w:color w:val="auto"/>
          <w:sz w:val="32"/>
          <w:szCs w:val="32"/>
          <w:highlight w:val="none"/>
        </w:rPr>
        <w:t>，结合日常</w:t>
      </w:r>
      <w:r>
        <w:rPr>
          <w:rFonts w:hint="default" w:ascii="Times New Roman" w:hAnsi="Times New Roman" w:eastAsia="仿宋_GB2312" w:cs="Times New Roman"/>
          <w:color w:val="auto"/>
          <w:sz w:val="32"/>
          <w:szCs w:val="32"/>
          <w:highlight w:val="none"/>
          <w:lang w:eastAsia="zh-CN"/>
        </w:rPr>
        <w:t>内部</w:t>
      </w:r>
      <w:r>
        <w:rPr>
          <w:rFonts w:hint="default" w:ascii="Times New Roman" w:hAnsi="Times New Roman" w:eastAsia="仿宋_GB2312" w:cs="Times New Roman"/>
          <w:color w:val="auto"/>
          <w:sz w:val="32"/>
          <w:szCs w:val="32"/>
          <w:highlight w:val="none"/>
        </w:rPr>
        <w:t>审计工作</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不断强化审计项目管理、完善审计方法、统一审计标准</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通过对不同审计类型的流程梳理、再造，审计文书模板的设计定样，审计效率得到较大提高，一定程度化解了目前集团审计“人少审计项目多”的瓶颈问题</w:t>
      </w:r>
      <w:r>
        <w:rPr>
          <w:rFonts w:hint="default"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rPr>
        <w:t>二是围绕重点，审计内容标准化。</w:t>
      </w:r>
      <w:r>
        <w:rPr>
          <w:rFonts w:hint="default" w:ascii="Times New Roman" w:hAnsi="Times New Roman" w:eastAsia="仿宋_GB2312" w:cs="Times New Roman"/>
          <w:b w:val="0"/>
          <w:bCs w:val="0"/>
          <w:color w:val="auto"/>
          <w:sz w:val="32"/>
          <w:szCs w:val="32"/>
          <w:highlight w:val="none"/>
          <w:lang w:eastAsia="zh-CN"/>
        </w:rPr>
        <w:t>紧紧围绕</w:t>
      </w:r>
      <w:r>
        <w:rPr>
          <w:rFonts w:hint="default" w:ascii="Times New Roman" w:hAnsi="Times New Roman" w:eastAsia="仿宋_GB2312" w:cs="Times New Roman"/>
          <w:color w:val="auto"/>
          <w:sz w:val="32"/>
          <w:szCs w:val="32"/>
          <w:highlight w:val="none"/>
          <w:lang w:val="en-US" w:eastAsia="zh-CN"/>
        </w:rPr>
        <w:t>省审计厅印发《</w:t>
      </w:r>
      <w:r>
        <w:rPr>
          <w:rFonts w:hint="default" w:ascii="Times New Roman" w:hAnsi="Times New Roman" w:eastAsia="仿宋_GB2312" w:cs="Times New Roman"/>
          <w:color w:val="auto"/>
          <w:sz w:val="32"/>
          <w:szCs w:val="32"/>
          <w:highlight w:val="none"/>
        </w:rPr>
        <w:t>年度内部审计工作</w:t>
      </w:r>
      <w:r>
        <w:rPr>
          <w:rFonts w:hint="default" w:ascii="Times New Roman" w:hAnsi="Times New Roman" w:eastAsia="仿宋_GB2312" w:cs="Times New Roman"/>
          <w:color w:val="auto"/>
          <w:sz w:val="32"/>
          <w:szCs w:val="32"/>
          <w:highlight w:val="none"/>
          <w:lang w:eastAsia="zh-CN"/>
        </w:rPr>
        <w:t>要点</w:t>
      </w:r>
      <w:r>
        <w:rPr>
          <w:rFonts w:hint="default" w:ascii="Times New Roman" w:hAnsi="Times New Roman" w:eastAsia="仿宋_GB2312" w:cs="Times New Roman"/>
          <w:color w:val="auto"/>
          <w:sz w:val="32"/>
          <w:szCs w:val="32"/>
          <w:highlight w:val="none"/>
        </w:rPr>
        <w:t>的通知》</w:t>
      </w:r>
      <w:r>
        <w:rPr>
          <w:rFonts w:hint="default" w:ascii="Times New Roman" w:hAnsi="Times New Roman" w:eastAsia="仿宋_GB2312" w:cs="Times New Roman"/>
          <w:color w:val="auto"/>
          <w:sz w:val="32"/>
          <w:szCs w:val="32"/>
          <w:highlight w:val="none"/>
          <w:lang w:eastAsia="zh-CN"/>
        </w:rPr>
        <w:t>等文件，明确</w:t>
      </w:r>
      <w:r>
        <w:rPr>
          <w:rFonts w:hint="default" w:ascii="Times New Roman" w:hAnsi="Times New Roman" w:eastAsia="仿宋_GB2312" w:cs="Times New Roman"/>
          <w:color w:val="auto"/>
          <w:sz w:val="32"/>
          <w:szCs w:val="32"/>
          <w:highlight w:val="none"/>
        </w:rPr>
        <w:t>当年度</w:t>
      </w:r>
      <w:r>
        <w:rPr>
          <w:rFonts w:hint="default" w:ascii="Times New Roman" w:hAnsi="Times New Roman" w:eastAsia="仿宋_GB2312" w:cs="Times New Roman"/>
          <w:color w:val="auto"/>
          <w:sz w:val="32"/>
          <w:szCs w:val="32"/>
          <w:highlight w:val="none"/>
          <w:lang w:eastAsia="zh-CN"/>
        </w:rPr>
        <w:t>内部</w:t>
      </w:r>
      <w:r>
        <w:rPr>
          <w:rFonts w:hint="default" w:ascii="Times New Roman" w:hAnsi="Times New Roman" w:eastAsia="仿宋_GB2312" w:cs="Times New Roman"/>
          <w:color w:val="auto"/>
          <w:sz w:val="32"/>
          <w:szCs w:val="32"/>
          <w:highlight w:val="none"/>
        </w:rPr>
        <w:t>审计工作</w:t>
      </w:r>
      <w:r>
        <w:rPr>
          <w:rFonts w:hint="default" w:ascii="Times New Roman" w:hAnsi="Times New Roman" w:eastAsia="仿宋_GB2312" w:cs="Times New Roman"/>
          <w:color w:val="auto"/>
          <w:sz w:val="32"/>
          <w:szCs w:val="32"/>
          <w:highlight w:val="none"/>
          <w:lang w:eastAsia="zh-CN"/>
        </w:rPr>
        <w:t>的方向和</w:t>
      </w:r>
      <w:r>
        <w:rPr>
          <w:rFonts w:hint="default" w:ascii="Times New Roman" w:hAnsi="Times New Roman" w:eastAsia="仿宋_GB2312" w:cs="Times New Roman"/>
          <w:color w:val="auto"/>
          <w:sz w:val="32"/>
          <w:szCs w:val="32"/>
          <w:highlight w:val="none"/>
        </w:rPr>
        <w:t>重点关注内容，不断修改完善相关模板，提升审计质量。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32" w:firstLineChars="200"/>
        <w:textAlignment w:val="auto"/>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（三）聚焦内部经责审计，重点突出着力规范</w:t>
      </w:r>
    </w:p>
    <w:p>
      <w:pPr>
        <w:keepNext w:val="0"/>
        <w:keepLines w:val="0"/>
        <w:pageBreakBefore w:val="0"/>
        <w:widowControl w:val="0"/>
        <w:kinsoku/>
        <w:wordWrap/>
        <w:overflowPunct/>
        <w:topLinePunct w:val="0"/>
        <w:autoSpaceDE/>
        <w:autoSpaceDN/>
        <w:bidi w:val="0"/>
        <w:adjustRightInd/>
        <w:snapToGrid/>
        <w:spacing w:line="560" w:lineRule="atLeast"/>
        <w:ind w:firstLine="632" w:firstLineChars="200"/>
        <w:textAlignment w:val="auto"/>
        <w:rPr>
          <w:rFonts w:hint="default" w:ascii="Times New Roman" w:hAnsi="Times New Roman" w:eastAsia="仿宋_GB2312" w:cs="Times New Roman"/>
          <w:b w:val="0"/>
          <w:i w:val="0"/>
          <w:color w:val="auto"/>
          <w:spacing w:val="0"/>
          <w:w w:val="100"/>
          <w:sz w:val="32"/>
          <w:szCs w:val="32"/>
          <w:highlight w:val="none"/>
          <w:lang w:val="en-US" w:eastAsia="zh-CN"/>
        </w:rPr>
      </w:pPr>
      <w:r>
        <w:rPr>
          <w:rFonts w:hint="default" w:ascii="Times New Roman" w:hAnsi="Times New Roman" w:eastAsia="仿宋_GB2312" w:cs="Times New Roman"/>
          <w:b w:val="0"/>
          <w:i w:val="0"/>
          <w:color w:val="auto"/>
          <w:spacing w:val="0"/>
          <w:w w:val="100"/>
          <w:sz w:val="32"/>
          <w:szCs w:val="32"/>
          <w:highlight w:val="none"/>
          <w:lang w:val="en-US" w:eastAsia="zh-CN"/>
        </w:rPr>
        <w:t>聚焦经济责任，贯彻落实党中央、国务院关于深化经济责任审计工作的要求，加大对所属二级单位主要领导人员的审计力度，</w:t>
      </w:r>
      <w:r>
        <w:rPr>
          <w:rFonts w:hint="default" w:ascii="Times New Roman" w:hAnsi="Times New Roman" w:eastAsia="仿宋_GB2312" w:cs="Times New Roman"/>
          <w:color w:val="auto"/>
          <w:sz w:val="32"/>
          <w:szCs w:val="32"/>
          <w:highlight w:val="none"/>
        </w:rPr>
        <w:t>客观公正发现和提出问题、深入细致分析原因、提出切实可行意见建议、盯紧并</w:t>
      </w:r>
      <w:r>
        <w:rPr>
          <w:rFonts w:hint="default" w:ascii="Times New Roman" w:hAnsi="Times New Roman" w:eastAsia="仿宋_GB2312" w:cs="Times New Roman"/>
          <w:color w:val="auto"/>
          <w:sz w:val="32"/>
          <w:szCs w:val="32"/>
          <w:highlight w:val="none"/>
          <w:lang w:val="en-US" w:eastAsia="zh-CN"/>
        </w:rPr>
        <w:t>督促</w:t>
      </w:r>
      <w:r>
        <w:rPr>
          <w:rFonts w:hint="default" w:ascii="Times New Roman" w:hAnsi="Times New Roman" w:eastAsia="仿宋_GB2312" w:cs="Times New Roman"/>
          <w:color w:val="auto"/>
          <w:sz w:val="32"/>
          <w:szCs w:val="32"/>
          <w:highlight w:val="none"/>
        </w:rPr>
        <w:t>按时整改到位</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不断提高内部审计监督效能。</w:t>
      </w:r>
      <w:r>
        <w:rPr>
          <w:rFonts w:hint="default" w:ascii="Times New Roman" w:hAnsi="Times New Roman" w:eastAsia="仿宋_GB2312" w:cs="Times New Roman"/>
          <w:b w:val="0"/>
          <w:bCs w:val="0"/>
          <w:color w:val="auto"/>
          <w:sz w:val="32"/>
          <w:szCs w:val="32"/>
          <w:highlight w:val="none"/>
          <w:lang w:val="en-US" w:eastAsia="zh-CN"/>
        </w:rPr>
        <w:t>一是</w:t>
      </w:r>
      <w:r>
        <w:rPr>
          <w:rFonts w:hint="default" w:ascii="Times New Roman" w:hAnsi="Times New Roman" w:eastAsia="仿宋_GB2312" w:cs="Times New Roman"/>
          <w:b w:val="0"/>
          <w:bCs w:val="0"/>
          <w:i w:val="0"/>
          <w:color w:val="auto"/>
          <w:spacing w:val="0"/>
          <w:w w:val="100"/>
          <w:sz w:val="32"/>
          <w:szCs w:val="32"/>
          <w:highlight w:val="none"/>
          <w:lang w:val="en-US" w:eastAsia="zh-CN"/>
        </w:rPr>
        <w:t>凡离必审，审计范围全覆盖。</w:t>
      </w:r>
      <w:r>
        <w:rPr>
          <w:rFonts w:hint="default" w:ascii="Times New Roman" w:hAnsi="Times New Roman" w:eastAsia="仿宋_GB2312" w:cs="Times New Roman"/>
          <w:color w:val="auto"/>
          <w:sz w:val="32"/>
          <w:szCs w:val="32"/>
          <w:highlight w:val="none"/>
        </w:rPr>
        <w:t>发挥内部审计的权威性和监督职能，</w:t>
      </w:r>
      <w:r>
        <w:rPr>
          <w:rFonts w:hint="default" w:ascii="Times New Roman" w:hAnsi="Times New Roman" w:eastAsia="仿宋_GB2312" w:cs="Times New Roman"/>
          <w:b w:val="0"/>
          <w:i w:val="0"/>
          <w:color w:val="auto"/>
          <w:spacing w:val="0"/>
          <w:w w:val="100"/>
          <w:sz w:val="32"/>
          <w:szCs w:val="32"/>
          <w:highlight w:val="none"/>
          <w:lang w:val="en-US" w:eastAsia="zh-CN"/>
        </w:rPr>
        <w:t>对离任的所属二级公司主要负责人任职期间履行经济责任情况开展审计，做到凡离必审，审计范围全覆盖。</w:t>
      </w:r>
      <w:r>
        <w:rPr>
          <w:rFonts w:hint="default" w:ascii="Times New Roman" w:hAnsi="Times New Roman" w:eastAsia="仿宋_GB2312" w:cs="Times New Roman"/>
          <w:b w:val="0"/>
          <w:bCs w:val="0"/>
          <w:i w:val="0"/>
          <w:color w:val="auto"/>
          <w:spacing w:val="0"/>
          <w:w w:val="100"/>
          <w:sz w:val="32"/>
          <w:szCs w:val="32"/>
          <w:highlight w:val="none"/>
          <w:lang w:val="en-US" w:eastAsia="zh-CN"/>
        </w:rPr>
        <w:t>二是提高站位，审计内容全覆盖。</w:t>
      </w:r>
      <w:r>
        <w:rPr>
          <w:rFonts w:hint="default" w:ascii="Times New Roman" w:hAnsi="Times New Roman" w:eastAsia="仿宋_GB2312" w:cs="Times New Roman"/>
          <w:b w:val="0"/>
          <w:i w:val="0"/>
          <w:color w:val="auto"/>
          <w:spacing w:val="0"/>
          <w:w w:val="100"/>
          <w:sz w:val="32"/>
          <w:szCs w:val="32"/>
          <w:highlight w:val="none"/>
          <w:lang w:val="en-US" w:eastAsia="zh-CN"/>
        </w:rPr>
        <w:t>开展经济责任审计的同时，加入审战略、审风险、审内控等要素，对领导干部任职期间，其所任职单位贯彻执行党和国家经济方针政策、公司决策部署，管理国有资产、国有资源，防控重大经济风险等有关经济活动应当履行的职责进行审计，做到审计内容全覆盖</w:t>
      </w:r>
      <w:r>
        <w:rPr>
          <w:rFonts w:hint="eastAsia" w:cs="Times New Roman"/>
          <w:b w:val="0"/>
          <w:i w:val="0"/>
          <w:color w:val="auto"/>
          <w:spacing w:val="0"/>
          <w:w w:val="1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32" w:firstLineChars="200"/>
        <w:textAlignment w:val="auto"/>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（四）分期梳理审计问题，跟踪问题整改落实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32"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_GB2312" w:cs="Times New Roman"/>
          <w:b w:val="0"/>
          <w:i w:val="0"/>
          <w:color w:val="auto"/>
          <w:spacing w:val="0"/>
          <w:w w:val="100"/>
          <w:sz w:val="32"/>
          <w:szCs w:val="32"/>
          <w:highlight w:val="none"/>
          <w:lang w:val="en-US" w:eastAsia="zh-CN"/>
        </w:rPr>
        <w:t>有效整改是内部审计从“成本”到“资本”的前提，</w:t>
      </w:r>
      <w:r>
        <w:rPr>
          <w:rFonts w:hint="default" w:ascii="Times New Roman" w:hAnsi="Times New Roman" w:eastAsia="仿宋_GB2312" w:cs="Times New Roman"/>
          <w:b w:val="0"/>
          <w:bCs w:val="0"/>
          <w:i w:val="0"/>
          <w:color w:val="auto"/>
          <w:spacing w:val="0"/>
          <w:w w:val="100"/>
          <w:sz w:val="32"/>
          <w:szCs w:val="32"/>
          <w:highlight w:val="none"/>
          <w:lang w:val="en-US" w:eastAsia="zh-CN"/>
        </w:rPr>
        <w:t>审计发现问题整改更是提升内部审计工作质效的重要一环。内部审计既要注重前端的审计过程，还要关注后端的督促整改。按照审计发现问题的整改要求，</w:t>
      </w:r>
      <w:r>
        <w:rPr>
          <w:rFonts w:hint="default" w:ascii="Times New Roman" w:hAnsi="Times New Roman" w:eastAsia="仿宋_GB2312" w:cs="Times New Roman"/>
          <w:color w:val="auto"/>
          <w:sz w:val="32"/>
          <w:szCs w:val="32"/>
          <w:highlight w:val="none"/>
        </w:rPr>
        <w:t>对问题整改落实</w:t>
      </w:r>
      <w:r>
        <w:rPr>
          <w:rFonts w:hint="default" w:ascii="Times New Roman" w:hAnsi="Times New Roman" w:eastAsia="仿宋_GB2312" w:cs="Times New Roman"/>
          <w:color w:val="auto"/>
          <w:sz w:val="32"/>
          <w:szCs w:val="32"/>
          <w:highlight w:val="none"/>
          <w:lang w:val="en-US" w:eastAsia="zh-CN"/>
        </w:rPr>
        <w:t>情况进行</w:t>
      </w:r>
      <w:r>
        <w:rPr>
          <w:rFonts w:hint="default" w:ascii="Times New Roman" w:hAnsi="Times New Roman" w:eastAsia="仿宋_GB2312" w:cs="Times New Roman"/>
          <w:color w:val="auto"/>
          <w:sz w:val="32"/>
          <w:szCs w:val="32"/>
          <w:highlight w:val="none"/>
        </w:rPr>
        <w:t>跟踪，</w:t>
      </w:r>
      <w:r>
        <w:rPr>
          <w:rFonts w:hint="default" w:ascii="Times New Roman" w:hAnsi="Times New Roman" w:eastAsia="仿宋_GB2312" w:cs="Times New Roman"/>
          <w:b w:val="0"/>
          <w:i w:val="0"/>
          <w:color w:val="auto"/>
          <w:spacing w:val="0"/>
          <w:w w:val="100"/>
          <w:sz w:val="32"/>
          <w:szCs w:val="32"/>
          <w:highlight w:val="none"/>
          <w:lang w:val="en-US" w:eastAsia="zh-CN"/>
        </w:rPr>
        <w:t>掌握问题整改完成情况，</w:t>
      </w:r>
      <w:r>
        <w:rPr>
          <w:rFonts w:hint="default" w:ascii="Times New Roman" w:hAnsi="Times New Roman" w:eastAsia="仿宋_GB2312" w:cs="Times New Roman"/>
          <w:color w:val="auto"/>
          <w:sz w:val="32"/>
          <w:szCs w:val="32"/>
          <w:highlight w:val="none"/>
        </w:rPr>
        <w:t>促进相关</w:t>
      </w:r>
      <w:r>
        <w:rPr>
          <w:rFonts w:hint="default" w:ascii="Times New Roman" w:hAnsi="Times New Roman" w:eastAsia="仿宋_GB2312" w:cs="Times New Roman"/>
          <w:color w:val="auto"/>
          <w:sz w:val="32"/>
          <w:szCs w:val="32"/>
          <w:highlight w:val="none"/>
          <w:lang w:val="en-US" w:eastAsia="zh-CN"/>
        </w:rPr>
        <w:t>责任单位</w:t>
      </w:r>
      <w:r>
        <w:rPr>
          <w:rFonts w:hint="default" w:ascii="Times New Roman" w:hAnsi="Times New Roman" w:eastAsia="仿宋_GB2312" w:cs="Times New Roman"/>
          <w:color w:val="auto"/>
          <w:sz w:val="32"/>
          <w:szCs w:val="32"/>
          <w:highlight w:val="none"/>
        </w:rPr>
        <w:t>进一步规范管理、防范和化解经营风险，</w:t>
      </w:r>
      <w:r>
        <w:rPr>
          <w:rFonts w:hint="default" w:ascii="Times New Roman" w:hAnsi="Times New Roman" w:eastAsia="仿宋_GB2312" w:cs="Times New Roman"/>
          <w:b w:val="0"/>
          <w:i w:val="0"/>
          <w:color w:val="auto"/>
          <w:spacing w:val="0"/>
          <w:w w:val="100"/>
          <w:sz w:val="32"/>
          <w:szCs w:val="32"/>
          <w:highlight w:val="none"/>
          <w:lang w:val="en-US" w:eastAsia="zh-CN"/>
        </w:rPr>
        <w:t>以强有力的监督，促进整改工作的有效完成。</w:t>
      </w:r>
      <w:r>
        <w:rPr>
          <w:rFonts w:hint="default" w:ascii="Times New Roman" w:hAnsi="Times New Roman" w:eastAsia="仿宋_GB2312" w:cs="Times New Roman"/>
          <w:color w:val="auto"/>
          <w:sz w:val="32"/>
          <w:szCs w:val="32"/>
          <w:highlight w:val="none"/>
          <w:lang w:val="en-US" w:eastAsia="zh-CN"/>
        </w:rPr>
        <w:t>相关责任单位</w:t>
      </w:r>
      <w:r>
        <w:rPr>
          <w:rFonts w:hint="default" w:ascii="Times New Roman" w:hAnsi="Times New Roman" w:eastAsia="仿宋_GB2312" w:cs="Times New Roman"/>
          <w:color w:val="auto"/>
          <w:sz w:val="32"/>
          <w:szCs w:val="32"/>
          <w:highlight w:val="none"/>
          <w:lang w:eastAsia="zh-CN"/>
        </w:rPr>
        <w:t>通过立行立改、</w:t>
      </w:r>
      <w:r>
        <w:rPr>
          <w:rFonts w:hint="default" w:ascii="Times New Roman" w:hAnsi="Times New Roman" w:eastAsia="仿宋_GB2312" w:cs="Times New Roman"/>
          <w:color w:val="auto"/>
          <w:sz w:val="32"/>
          <w:szCs w:val="32"/>
          <w:highlight w:val="none"/>
          <w:lang w:val="en-US" w:eastAsia="zh-CN"/>
        </w:rPr>
        <w:t>举一反三建立整改长效机制等避免类似问题及风险再次发生。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atLeast"/>
        <w:ind w:firstLine="632" w:firstLineChars="200"/>
        <w:textAlignment w:val="auto"/>
        <w:rPr>
          <w:rFonts w:hint="default" w:ascii="楷体_GB2312" w:hAnsi="楷体_GB2312" w:eastAsia="楷体_GB2312" w:cs="楷体_GB2312"/>
          <w:kern w:val="2"/>
          <w:sz w:val="32"/>
          <w:szCs w:val="32"/>
          <w:lang w:val="en-US" w:eastAsia="zh-CN" w:bidi="ar-SA"/>
        </w:rPr>
      </w:pPr>
      <w:r>
        <w:rPr>
          <w:rFonts w:hint="default" w:ascii="楷体_GB2312" w:hAnsi="楷体_GB2312" w:eastAsia="楷体_GB2312" w:cs="楷体_GB2312"/>
          <w:kern w:val="2"/>
          <w:sz w:val="32"/>
          <w:szCs w:val="32"/>
          <w:lang w:val="en-US" w:eastAsia="zh-CN" w:bidi="ar-SA"/>
        </w:rPr>
        <w:t>（五）加强部门沟通联动，协同开展内部监督</w:t>
      </w:r>
    </w:p>
    <w:p>
      <w:pPr>
        <w:keepNext w:val="0"/>
        <w:keepLines w:val="0"/>
        <w:pageBreakBefore w:val="0"/>
        <w:widowControl w:val="0"/>
        <w:kinsoku/>
        <w:wordWrap/>
        <w:overflowPunct/>
        <w:topLinePunct w:val="0"/>
        <w:autoSpaceDE/>
        <w:autoSpaceDN/>
        <w:bidi w:val="0"/>
        <w:adjustRightInd/>
        <w:snapToGrid/>
        <w:spacing w:line="560" w:lineRule="atLeast"/>
        <w:ind w:firstLine="632"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32"/>
          <w:szCs w:val="32"/>
          <w:highlight w:val="none"/>
          <w:shd w:val="clear" w:color="auto" w:fill="FFFFFF"/>
          <w:lang w:val="en-US" w:eastAsia="zh-CN" w:bidi="ar-SA"/>
        </w:rPr>
        <w:t>强化内部审计监督和纪检监察监督责任的落实，在开展日常监督工作时，能够有效的将党风廉政贯穿于内部审计，</w:t>
      </w:r>
      <w:r>
        <w:rPr>
          <w:rFonts w:hint="default" w:ascii="Times New Roman" w:hAnsi="Times New Roman" w:eastAsia="仿宋_GB2312" w:cs="Times New Roman"/>
          <w:color w:val="auto"/>
          <w:sz w:val="32"/>
          <w:szCs w:val="32"/>
          <w:highlight w:val="none"/>
        </w:rPr>
        <w:t>加强集团内部监督协同。</w:t>
      </w:r>
      <w:r>
        <w:rPr>
          <w:rFonts w:hint="default" w:ascii="Times New Roman" w:hAnsi="Times New Roman" w:eastAsia="仿宋_GB2312" w:cs="Times New Roman"/>
          <w:b w:val="0"/>
          <w:bCs w:val="0"/>
          <w:color w:val="auto"/>
          <w:sz w:val="32"/>
          <w:szCs w:val="32"/>
          <w:highlight w:val="none"/>
          <w:lang w:val="en-US" w:eastAsia="zh-CN"/>
        </w:rPr>
        <w:t>一是</w:t>
      </w:r>
      <w:r>
        <w:rPr>
          <w:rFonts w:hint="default" w:ascii="Times New Roman" w:hAnsi="Times New Roman" w:eastAsia="仿宋_GB2312" w:cs="Times New Roman"/>
          <w:b w:val="0"/>
          <w:bCs w:val="0"/>
          <w:color w:val="auto"/>
          <w:sz w:val="32"/>
          <w:szCs w:val="32"/>
          <w:highlight w:val="none"/>
        </w:rPr>
        <w:t>与</w:t>
      </w:r>
      <w:r>
        <w:rPr>
          <w:rFonts w:hint="default" w:ascii="Times New Roman" w:hAnsi="Times New Roman" w:eastAsia="仿宋_GB2312" w:cs="Times New Roman"/>
          <w:color w:val="auto"/>
          <w:sz w:val="32"/>
          <w:szCs w:val="32"/>
          <w:highlight w:val="none"/>
        </w:rPr>
        <w:t>监察室联合开展检查，对所属</w:t>
      </w:r>
      <w:r>
        <w:rPr>
          <w:rFonts w:hint="default" w:ascii="Times New Roman" w:hAnsi="Times New Roman" w:eastAsia="仿宋_GB2312" w:cs="Times New Roman"/>
          <w:color w:val="auto"/>
          <w:sz w:val="32"/>
          <w:szCs w:val="32"/>
          <w:highlight w:val="none"/>
          <w:lang w:val="en-US" w:eastAsia="zh-CN"/>
        </w:rPr>
        <w:t>公司</w:t>
      </w:r>
      <w:r>
        <w:rPr>
          <w:rFonts w:hint="default" w:ascii="Times New Roman" w:hAnsi="Times New Roman" w:eastAsia="仿宋_GB2312" w:cs="Times New Roman"/>
          <w:color w:val="auto"/>
          <w:sz w:val="32"/>
          <w:szCs w:val="32"/>
          <w:highlight w:val="none"/>
        </w:rPr>
        <w:t>进行专项审计，指出问题，立行立改，减少所属</w:t>
      </w:r>
      <w:r>
        <w:rPr>
          <w:rFonts w:hint="default" w:ascii="Times New Roman" w:hAnsi="Times New Roman" w:eastAsia="仿宋_GB2312" w:cs="Times New Roman"/>
          <w:color w:val="auto"/>
          <w:sz w:val="32"/>
          <w:szCs w:val="32"/>
          <w:highlight w:val="none"/>
          <w:lang w:val="en-US" w:eastAsia="zh-CN"/>
        </w:rPr>
        <w:t>公司</w:t>
      </w:r>
      <w:r>
        <w:rPr>
          <w:rFonts w:hint="default" w:ascii="Times New Roman" w:hAnsi="Times New Roman" w:eastAsia="仿宋_GB2312" w:cs="Times New Roman"/>
          <w:color w:val="auto"/>
          <w:sz w:val="32"/>
          <w:szCs w:val="32"/>
          <w:highlight w:val="none"/>
        </w:rPr>
        <w:t>工作负担，做到一次审计，成果多方面运用。</w:t>
      </w:r>
      <w:r>
        <w:rPr>
          <w:rFonts w:hint="default" w:ascii="Times New Roman" w:hAnsi="Times New Roman" w:eastAsia="仿宋_GB2312" w:cs="Times New Roman"/>
          <w:b w:val="0"/>
          <w:bCs w:val="0"/>
          <w:color w:val="auto"/>
          <w:sz w:val="32"/>
          <w:szCs w:val="32"/>
          <w:highlight w:val="none"/>
          <w:lang w:val="en-US" w:eastAsia="zh-CN"/>
        </w:rPr>
        <w:t>二是</w:t>
      </w:r>
      <w:r>
        <w:rPr>
          <w:rFonts w:hint="default" w:ascii="Times New Roman" w:hAnsi="Times New Roman" w:eastAsia="仿宋_GB2312" w:cs="Times New Roman"/>
          <w:color w:val="auto"/>
          <w:sz w:val="32"/>
          <w:szCs w:val="32"/>
          <w:highlight w:val="none"/>
        </w:rPr>
        <w:t>参与集团开展的党政巡查，共享审计中发现的问题，进一步加强对问题整改落实情况的监督，强化</w:t>
      </w:r>
      <w:r>
        <w:rPr>
          <w:rFonts w:hint="default" w:ascii="Times New Roman" w:hAnsi="Times New Roman" w:eastAsia="仿宋_GB2312" w:cs="Times New Roman"/>
          <w:color w:val="auto"/>
          <w:sz w:val="32"/>
          <w:szCs w:val="32"/>
          <w:highlight w:val="none"/>
          <w:lang w:eastAsia="zh-CN"/>
        </w:rPr>
        <w:t>内部</w:t>
      </w:r>
      <w:r>
        <w:rPr>
          <w:rFonts w:hint="default" w:ascii="Times New Roman" w:hAnsi="Times New Roman" w:eastAsia="仿宋_GB2312" w:cs="Times New Roman"/>
          <w:color w:val="auto"/>
          <w:sz w:val="32"/>
          <w:szCs w:val="32"/>
          <w:highlight w:val="none"/>
        </w:rPr>
        <w:t>审计结果运用。</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atLeast"/>
        <w:ind w:firstLine="632" w:firstLineChars="200"/>
        <w:jc w:val="both"/>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三、注重学习结合实践，加强内部审计队伍建设</w:t>
      </w:r>
    </w:p>
    <w:p>
      <w:pPr>
        <w:keepNext w:val="0"/>
        <w:keepLines w:val="0"/>
        <w:pageBreakBefore w:val="0"/>
        <w:widowControl w:val="0"/>
        <w:kinsoku/>
        <w:wordWrap/>
        <w:overflowPunct/>
        <w:topLinePunct w:val="0"/>
        <w:autoSpaceDE/>
        <w:autoSpaceDN/>
        <w:bidi w:val="0"/>
        <w:adjustRightInd/>
        <w:snapToGrid/>
        <w:spacing w:line="560" w:lineRule="atLeast"/>
        <w:ind w:firstLine="64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eastAsia="zh-CN"/>
        </w:rPr>
        <w:t>持续</w:t>
      </w:r>
      <w:r>
        <w:rPr>
          <w:rFonts w:hint="default" w:ascii="Times New Roman" w:hAnsi="Times New Roman" w:eastAsia="仿宋_GB2312" w:cs="Times New Roman"/>
          <w:color w:val="auto"/>
          <w:sz w:val="32"/>
          <w:szCs w:val="32"/>
          <w:highlight w:val="none"/>
        </w:rPr>
        <w:t>通过规划与开展相结合、理论学习与审计实践相结合、集中培训与个人自学相结合的方式，不断提升内部审计人员的</w:t>
      </w:r>
      <w:r>
        <w:rPr>
          <w:rFonts w:hint="default" w:ascii="Times New Roman" w:hAnsi="Times New Roman" w:eastAsia="仿宋_GB2312" w:cs="Times New Roman"/>
          <w:color w:val="auto"/>
          <w:sz w:val="32"/>
          <w:szCs w:val="32"/>
          <w:highlight w:val="none"/>
          <w:lang w:val="en-US" w:eastAsia="zh-CN"/>
        </w:rPr>
        <w:t>综合能力</w:t>
      </w:r>
      <w:r>
        <w:rPr>
          <w:rFonts w:hint="default" w:ascii="Times New Roman" w:hAnsi="Times New Roman" w:eastAsia="仿宋_GB2312" w:cs="Times New Roman"/>
          <w:color w:val="auto"/>
          <w:sz w:val="32"/>
          <w:szCs w:val="32"/>
          <w:highlight w:val="none"/>
        </w:rPr>
        <w:t>。利用周例会集体研究遇到的问题、分享经验</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线上</w:t>
      </w:r>
      <w:r>
        <w:rPr>
          <w:rFonts w:hint="default" w:ascii="Times New Roman" w:hAnsi="Times New Roman" w:eastAsia="仿宋_GB2312" w:cs="Times New Roman"/>
          <w:color w:val="auto"/>
          <w:sz w:val="32"/>
          <w:szCs w:val="32"/>
          <w:highlight w:val="none"/>
          <w:lang w:val="en-US" w:eastAsia="zh-CN"/>
        </w:rPr>
        <w:t>积极</w:t>
      </w:r>
      <w:r>
        <w:rPr>
          <w:rFonts w:hint="default" w:ascii="Times New Roman" w:hAnsi="Times New Roman" w:eastAsia="仿宋_GB2312" w:cs="Times New Roman"/>
          <w:color w:val="auto"/>
          <w:sz w:val="32"/>
          <w:szCs w:val="32"/>
          <w:highlight w:val="none"/>
        </w:rPr>
        <w:t>参加</w:t>
      </w:r>
      <w:r>
        <w:rPr>
          <w:rFonts w:hint="default" w:ascii="Times New Roman" w:hAnsi="Times New Roman" w:eastAsia="仿宋_GB2312" w:cs="Times New Roman"/>
          <w:color w:val="auto"/>
          <w:sz w:val="32"/>
          <w:szCs w:val="32"/>
          <w:highlight w:val="none"/>
          <w:lang w:val="en-US" w:eastAsia="zh-CN"/>
        </w:rPr>
        <w:t>省</w:t>
      </w:r>
      <w:r>
        <w:rPr>
          <w:rFonts w:hint="default" w:ascii="Times New Roman" w:hAnsi="Times New Roman" w:eastAsia="仿宋_GB2312" w:cs="Times New Roman"/>
          <w:color w:val="auto"/>
          <w:sz w:val="32"/>
          <w:szCs w:val="32"/>
          <w:highlight w:val="none"/>
        </w:rPr>
        <w:t>审计厅网络培训</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定期开展</w:t>
      </w:r>
      <w:r>
        <w:rPr>
          <w:rFonts w:hint="default" w:ascii="Times New Roman" w:hAnsi="Times New Roman" w:eastAsia="仿宋_GB2312" w:cs="Times New Roman"/>
          <w:color w:val="auto"/>
          <w:sz w:val="32"/>
          <w:szCs w:val="32"/>
          <w:highlight w:val="none"/>
        </w:rPr>
        <w:t>中国内部审计协会网络平台</w:t>
      </w:r>
      <w:r>
        <w:rPr>
          <w:rFonts w:hint="default" w:ascii="Times New Roman" w:hAnsi="Times New Roman" w:eastAsia="仿宋_GB2312" w:cs="Times New Roman"/>
          <w:color w:val="auto"/>
          <w:sz w:val="32"/>
          <w:szCs w:val="32"/>
          <w:highlight w:val="none"/>
          <w:lang w:val="en-US" w:eastAsia="zh-CN"/>
        </w:rPr>
        <w:t>学习；</w:t>
      </w:r>
      <w:r>
        <w:rPr>
          <w:rFonts w:hint="default" w:ascii="Times New Roman" w:hAnsi="Times New Roman" w:eastAsia="仿宋_GB2312" w:cs="Times New Roman"/>
          <w:color w:val="auto"/>
          <w:sz w:val="32"/>
          <w:szCs w:val="32"/>
          <w:highlight w:val="none"/>
        </w:rPr>
        <w:t>线下不定期组织政治理论和内审政策流程学习。以集中为主、自学为辅的方式学习相关政策和实务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熟练掌握与审计相关的法律法规、规章制度、审计实务等内容，不断提升内部审计人员的政治能力、专业素质，着力打造一支政治素质过硬、审计本领突出的复合型审计队伍。</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长城小标宋体" w:hAnsi="长城小标宋体" w:eastAsia="长城小标宋体" w:cs="长城小标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长城小标宋体" w:hAnsi="长城小标宋体" w:eastAsia="长城小标宋体" w:cs="长城小标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长城小标宋体" w:hAnsi="长城小标宋体" w:eastAsia="长城小标宋体" w:cs="长城小标宋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长城小标宋体" w:hAnsi="长城小标宋体" w:eastAsia="长城小标宋体" w:cs="长城小标宋体"/>
          <w:sz w:val="44"/>
          <w:szCs w:val="44"/>
          <w:lang w:val="en-US" w:eastAsia="zh-CN"/>
        </w:rPr>
      </w:pPr>
    </w:p>
    <w:p>
      <w:pPr>
        <w:ind w:firstLine="592" w:firstLineChars="200"/>
        <w:rPr>
          <w:rFonts w:hint="eastAsia" w:ascii="仿宋_GB2312" w:hAnsi="宋体" w:eastAsia="仿宋_GB2312"/>
          <w:b/>
          <w:sz w:val="30"/>
          <w:szCs w:val="30"/>
        </w:rPr>
      </w:pPr>
    </w:p>
    <w:p>
      <w:pPr>
        <w:pStyle w:val="21"/>
        <w:keepNext w:val="0"/>
        <w:keepLines w:val="0"/>
        <w:pageBreakBefore w:val="0"/>
        <w:widowControl w:val="0"/>
        <w:kinsoku/>
        <w:wordWrap/>
        <w:overflowPunct/>
        <w:topLinePunct w:val="0"/>
        <w:autoSpaceDE/>
        <w:autoSpaceDN/>
        <w:bidi w:val="0"/>
        <w:adjustRightInd/>
        <w:snapToGrid/>
        <w:spacing w:line="560" w:lineRule="exact"/>
        <w:rPr>
          <w:rFonts w:hint="default" w:ascii="Times New Roman" w:hAnsi="Times New Roman"/>
          <w:highlight w:val="none"/>
        </w:rPr>
      </w:pPr>
    </w:p>
    <w:sectPr>
      <w:footerReference r:id="rId3" w:type="default"/>
      <w:pgSz w:w="11906" w:h="16838"/>
      <w:pgMar w:top="2098" w:right="1531" w:bottom="1928" w:left="1531" w:header="1417" w:footer="1417" w:gutter="0"/>
      <w:pgBorders>
        <w:top w:val="none" w:sz="0" w:space="0"/>
        <w:left w:val="none" w:sz="0" w:space="0"/>
        <w:bottom w:val="none" w:sz="0" w:space="0"/>
        <w:right w:val="none" w:sz="0" w:space="0"/>
      </w:pgBorders>
      <w:pgNumType w:fmt="decimal"/>
      <w:cols w:space="0" w:num="1"/>
      <w:rtlGutter w:val="0"/>
      <w:docGrid w:type="linesAndChars" w:linePitch="58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Calibri Light">
    <w:altName w:val="Calibri"/>
    <w:panose1 w:val="00000000000000000000"/>
    <w:charset w:val="00"/>
    <w:family w:val="auto"/>
    <w:pitch w:val="default"/>
    <w:sig w:usb0="00000000" w:usb1="00000000" w:usb2="00000000" w:usb3="00000000" w:csb0="00000000" w:csb1="00000000"/>
  </w:font>
  <w:font w:name="Menlo">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长城小标宋体">
    <w:altName w:val="宋体"/>
    <w:panose1 w:val="02010609010101010101"/>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58"/>
  <w:drawingGridVerticalSpacing w:val="291"/>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lNDJjNTk1YmU0OTQxY2Y3ZmNjMzlhY2ZmZDUxY2EifQ=="/>
  </w:docVars>
  <w:rsids>
    <w:rsidRoot w:val="1DF932BF"/>
    <w:rsid w:val="00D36E85"/>
    <w:rsid w:val="01BB4922"/>
    <w:rsid w:val="022A53CB"/>
    <w:rsid w:val="0392490F"/>
    <w:rsid w:val="04EE0CB9"/>
    <w:rsid w:val="067223CD"/>
    <w:rsid w:val="06767972"/>
    <w:rsid w:val="09EF11A5"/>
    <w:rsid w:val="0BE7C928"/>
    <w:rsid w:val="0C5B2095"/>
    <w:rsid w:val="0CCD00B5"/>
    <w:rsid w:val="0DF9CD99"/>
    <w:rsid w:val="0EFC7242"/>
    <w:rsid w:val="0F603889"/>
    <w:rsid w:val="0F7F6CCB"/>
    <w:rsid w:val="132C7E6C"/>
    <w:rsid w:val="137725C9"/>
    <w:rsid w:val="13FE9C55"/>
    <w:rsid w:val="16FF3E30"/>
    <w:rsid w:val="18FD5E06"/>
    <w:rsid w:val="1BF11B1E"/>
    <w:rsid w:val="1CD540DB"/>
    <w:rsid w:val="1DF932BF"/>
    <w:rsid w:val="1E846509"/>
    <w:rsid w:val="1F88487D"/>
    <w:rsid w:val="1FBE4AED"/>
    <w:rsid w:val="1FBF9C68"/>
    <w:rsid w:val="1FFC9776"/>
    <w:rsid w:val="21E73240"/>
    <w:rsid w:val="22742FDC"/>
    <w:rsid w:val="24450F0F"/>
    <w:rsid w:val="27CBC4C6"/>
    <w:rsid w:val="29DFD388"/>
    <w:rsid w:val="2ADE7602"/>
    <w:rsid w:val="2B17D4ED"/>
    <w:rsid w:val="2CFF8D75"/>
    <w:rsid w:val="2E0A430F"/>
    <w:rsid w:val="2E772C3A"/>
    <w:rsid w:val="2E7E42E0"/>
    <w:rsid w:val="2EDFA57C"/>
    <w:rsid w:val="2EF7BE3B"/>
    <w:rsid w:val="2FBF92D6"/>
    <w:rsid w:val="303372EC"/>
    <w:rsid w:val="31426BEF"/>
    <w:rsid w:val="31AE65ED"/>
    <w:rsid w:val="31C510AD"/>
    <w:rsid w:val="31FA8046"/>
    <w:rsid w:val="32B46A4E"/>
    <w:rsid w:val="33BC6D13"/>
    <w:rsid w:val="35D71B75"/>
    <w:rsid w:val="368E1509"/>
    <w:rsid w:val="37962250"/>
    <w:rsid w:val="37CB6300"/>
    <w:rsid w:val="37DF4F4E"/>
    <w:rsid w:val="37F9301A"/>
    <w:rsid w:val="39DD797E"/>
    <w:rsid w:val="3B2E2604"/>
    <w:rsid w:val="3BFF7EEC"/>
    <w:rsid w:val="3CF63331"/>
    <w:rsid w:val="3D0033A0"/>
    <w:rsid w:val="3D4E3473"/>
    <w:rsid w:val="3D7F1F32"/>
    <w:rsid w:val="3DFE4505"/>
    <w:rsid w:val="3DFF6479"/>
    <w:rsid w:val="3E472D38"/>
    <w:rsid w:val="3E501797"/>
    <w:rsid w:val="3E75CFCA"/>
    <w:rsid w:val="3EAB25E4"/>
    <w:rsid w:val="3EE91515"/>
    <w:rsid w:val="3FA7879C"/>
    <w:rsid w:val="3FBF2A0C"/>
    <w:rsid w:val="3FFB5D73"/>
    <w:rsid w:val="3FFD64FF"/>
    <w:rsid w:val="3FFED233"/>
    <w:rsid w:val="3FFF59E6"/>
    <w:rsid w:val="3FFFD8A8"/>
    <w:rsid w:val="41191532"/>
    <w:rsid w:val="44572C84"/>
    <w:rsid w:val="44BC0C36"/>
    <w:rsid w:val="45D00853"/>
    <w:rsid w:val="45FFC563"/>
    <w:rsid w:val="4710744F"/>
    <w:rsid w:val="47B7A500"/>
    <w:rsid w:val="48CA3DFD"/>
    <w:rsid w:val="492FFBF5"/>
    <w:rsid w:val="4A0A1026"/>
    <w:rsid w:val="4B084D7B"/>
    <w:rsid w:val="4B0B1E18"/>
    <w:rsid w:val="4B9D08F7"/>
    <w:rsid w:val="4BF4FA81"/>
    <w:rsid w:val="4C8758D9"/>
    <w:rsid w:val="4CBB7A8C"/>
    <w:rsid w:val="4D59532D"/>
    <w:rsid w:val="4EE5DF5A"/>
    <w:rsid w:val="4F2F0F75"/>
    <w:rsid w:val="4FCF2E09"/>
    <w:rsid w:val="4FD98963"/>
    <w:rsid w:val="4FFFA4EE"/>
    <w:rsid w:val="50FEF316"/>
    <w:rsid w:val="523B07DE"/>
    <w:rsid w:val="530C0F77"/>
    <w:rsid w:val="541166E0"/>
    <w:rsid w:val="547D4B86"/>
    <w:rsid w:val="54DD429D"/>
    <w:rsid w:val="55434256"/>
    <w:rsid w:val="555F55CB"/>
    <w:rsid w:val="577F5873"/>
    <w:rsid w:val="57BFAADE"/>
    <w:rsid w:val="57CFD65F"/>
    <w:rsid w:val="57FB5342"/>
    <w:rsid w:val="57FFA700"/>
    <w:rsid w:val="58CF3E4F"/>
    <w:rsid w:val="5BDB06D5"/>
    <w:rsid w:val="5BFFC8A1"/>
    <w:rsid w:val="5BFFD298"/>
    <w:rsid w:val="5CBFFC44"/>
    <w:rsid w:val="5CFC266E"/>
    <w:rsid w:val="5D6B5344"/>
    <w:rsid w:val="5D79BB9A"/>
    <w:rsid w:val="5DFB621D"/>
    <w:rsid w:val="5DFBCE82"/>
    <w:rsid w:val="5DFFE1ED"/>
    <w:rsid w:val="5E6A7D28"/>
    <w:rsid w:val="5ED3099A"/>
    <w:rsid w:val="5F3F55BB"/>
    <w:rsid w:val="5F7F1DCE"/>
    <w:rsid w:val="5FAF6BFF"/>
    <w:rsid w:val="5FBD0413"/>
    <w:rsid w:val="5FBF63DF"/>
    <w:rsid w:val="5FBF89EF"/>
    <w:rsid w:val="5FDA7B03"/>
    <w:rsid w:val="5FFBC670"/>
    <w:rsid w:val="5FFD63E6"/>
    <w:rsid w:val="5FFFD123"/>
    <w:rsid w:val="5FFFDBE2"/>
    <w:rsid w:val="5FFFE0BC"/>
    <w:rsid w:val="614F7AC3"/>
    <w:rsid w:val="62C2535C"/>
    <w:rsid w:val="62F6FE1E"/>
    <w:rsid w:val="6356B8F6"/>
    <w:rsid w:val="6574BB1D"/>
    <w:rsid w:val="65A9630F"/>
    <w:rsid w:val="65FAC863"/>
    <w:rsid w:val="661A68A5"/>
    <w:rsid w:val="67D77F18"/>
    <w:rsid w:val="67DFDF3C"/>
    <w:rsid w:val="69B82AA8"/>
    <w:rsid w:val="69D6769C"/>
    <w:rsid w:val="6B7FC1ED"/>
    <w:rsid w:val="6BE25183"/>
    <w:rsid w:val="6BFF0618"/>
    <w:rsid w:val="6C035E49"/>
    <w:rsid w:val="6CFD1220"/>
    <w:rsid w:val="6CFE1512"/>
    <w:rsid w:val="6CFF1BE3"/>
    <w:rsid w:val="6D79FD8C"/>
    <w:rsid w:val="6DBCB020"/>
    <w:rsid w:val="6EEF40F7"/>
    <w:rsid w:val="6EF70DAE"/>
    <w:rsid w:val="6EF75230"/>
    <w:rsid w:val="6EFF9F8A"/>
    <w:rsid w:val="6F1C4373"/>
    <w:rsid w:val="6F3FFE7C"/>
    <w:rsid w:val="6FAB18E1"/>
    <w:rsid w:val="6FBF926A"/>
    <w:rsid w:val="6FE6D2FC"/>
    <w:rsid w:val="6FE9AF97"/>
    <w:rsid w:val="6FEFDB69"/>
    <w:rsid w:val="6FF15225"/>
    <w:rsid w:val="6FFDB306"/>
    <w:rsid w:val="6FFFBE88"/>
    <w:rsid w:val="6FFFDEBD"/>
    <w:rsid w:val="70534F74"/>
    <w:rsid w:val="706A301D"/>
    <w:rsid w:val="72DC0945"/>
    <w:rsid w:val="72FBF15B"/>
    <w:rsid w:val="72FC8E31"/>
    <w:rsid w:val="737E0E69"/>
    <w:rsid w:val="73BC4CD0"/>
    <w:rsid w:val="73D6E092"/>
    <w:rsid w:val="73DFDC1A"/>
    <w:rsid w:val="73F4FFE5"/>
    <w:rsid w:val="7566A2AB"/>
    <w:rsid w:val="757B2FAB"/>
    <w:rsid w:val="75DE8A35"/>
    <w:rsid w:val="75EEA166"/>
    <w:rsid w:val="7759C063"/>
    <w:rsid w:val="777E450C"/>
    <w:rsid w:val="777FA82E"/>
    <w:rsid w:val="779D7074"/>
    <w:rsid w:val="77BF12C7"/>
    <w:rsid w:val="77CB083C"/>
    <w:rsid w:val="77DF2F78"/>
    <w:rsid w:val="77EB9271"/>
    <w:rsid w:val="77FF03C9"/>
    <w:rsid w:val="77FF3FD6"/>
    <w:rsid w:val="77FFA425"/>
    <w:rsid w:val="78C8954C"/>
    <w:rsid w:val="78E672A9"/>
    <w:rsid w:val="791F5720"/>
    <w:rsid w:val="794FC473"/>
    <w:rsid w:val="79DF645E"/>
    <w:rsid w:val="79DF66D0"/>
    <w:rsid w:val="79DFD35D"/>
    <w:rsid w:val="79E71749"/>
    <w:rsid w:val="7AB3571C"/>
    <w:rsid w:val="7ADD493B"/>
    <w:rsid w:val="7AFBE773"/>
    <w:rsid w:val="7AFC798E"/>
    <w:rsid w:val="7B3B7A1F"/>
    <w:rsid w:val="7B7FC699"/>
    <w:rsid w:val="7BA9D8AF"/>
    <w:rsid w:val="7BBAAF17"/>
    <w:rsid w:val="7BC44768"/>
    <w:rsid w:val="7BEE48A2"/>
    <w:rsid w:val="7BEFD9AF"/>
    <w:rsid w:val="7BFBDD83"/>
    <w:rsid w:val="7CBC4307"/>
    <w:rsid w:val="7CDDEF6D"/>
    <w:rsid w:val="7CFBB59E"/>
    <w:rsid w:val="7CFF27F5"/>
    <w:rsid w:val="7D755603"/>
    <w:rsid w:val="7DAF6915"/>
    <w:rsid w:val="7DCF42C2"/>
    <w:rsid w:val="7DDF6D30"/>
    <w:rsid w:val="7DFFD672"/>
    <w:rsid w:val="7E19F957"/>
    <w:rsid w:val="7E79A824"/>
    <w:rsid w:val="7EBD119F"/>
    <w:rsid w:val="7EDDC53C"/>
    <w:rsid w:val="7F39DC84"/>
    <w:rsid w:val="7F3E3940"/>
    <w:rsid w:val="7F753FD4"/>
    <w:rsid w:val="7F7B52C4"/>
    <w:rsid w:val="7F9F12DC"/>
    <w:rsid w:val="7FA6F6B7"/>
    <w:rsid w:val="7FB7F809"/>
    <w:rsid w:val="7FBBC321"/>
    <w:rsid w:val="7FCA4FC7"/>
    <w:rsid w:val="7FCF0930"/>
    <w:rsid w:val="7FCF09DE"/>
    <w:rsid w:val="7FCF86CA"/>
    <w:rsid w:val="7FDD4376"/>
    <w:rsid w:val="7FDF3066"/>
    <w:rsid w:val="7FDF5F9A"/>
    <w:rsid w:val="7FF60A9A"/>
    <w:rsid w:val="7FF7462C"/>
    <w:rsid w:val="7FF79FCD"/>
    <w:rsid w:val="7FFB8FDA"/>
    <w:rsid w:val="7FFC2B61"/>
    <w:rsid w:val="7FFD7DDA"/>
    <w:rsid w:val="7FFDC17B"/>
    <w:rsid w:val="7FFF043B"/>
    <w:rsid w:val="7FFF0CD8"/>
    <w:rsid w:val="7FFFB12F"/>
    <w:rsid w:val="7FFFBD19"/>
    <w:rsid w:val="7FFFD36F"/>
    <w:rsid w:val="877F21AC"/>
    <w:rsid w:val="989792E8"/>
    <w:rsid w:val="9BBFEB9D"/>
    <w:rsid w:val="9BD174EA"/>
    <w:rsid w:val="9CDE7D5F"/>
    <w:rsid w:val="9DC73E9A"/>
    <w:rsid w:val="9EF740FB"/>
    <w:rsid w:val="9F337CA5"/>
    <w:rsid w:val="9F3D8FD7"/>
    <w:rsid w:val="9FBED1B4"/>
    <w:rsid w:val="9FF5F47D"/>
    <w:rsid w:val="A1BD85DB"/>
    <w:rsid w:val="A2FF3C95"/>
    <w:rsid w:val="A3F89FD9"/>
    <w:rsid w:val="A6B741E9"/>
    <w:rsid w:val="A76EEA28"/>
    <w:rsid w:val="AAEBB0E4"/>
    <w:rsid w:val="ABFE2852"/>
    <w:rsid w:val="AEAF0C9B"/>
    <w:rsid w:val="AF6D54C0"/>
    <w:rsid w:val="AFDE2B5A"/>
    <w:rsid w:val="AFEB8955"/>
    <w:rsid w:val="AFEF4A6E"/>
    <w:rsid w:val="AFFD3D8C"/>
    <w:rsid w:val="AFFFB25D"/>
    <w:rsid w:val="B2FF5937"/>
    <w:rsid w:val="B3FB9A28"/>
    <w:rsid w:val="B5EFF650"/>
    <w:rsid w:val="B62726FB"/>
    <w:rsid w:val="B6B84900"/>
    <w:rsid w:val="B96FEA9F"/>
    <w:rsid w:val="BAEF895B"/>
    <w:rsid w:val="BAF980BD"/>
    <w:rsid w:val="BB359EE8"/>
    <w:rsid w:val="BB3BE405"/>
    <w:rsid w:val="BB6FAA04"/>
    <w:rsid w:val="BBFF13D4"/>
    <w:rsid w:val="BE6FD08D"/>
    <w:rsid w:val="BED10926"/>
    <w:rsid w:val="BEDFF036"/>
    <w:rsid w:val="BEEB023C"/>
    <w:rsid w:val="BEEF50EE"/>
    <w:rsid w:val="BF790C87"/>
    <w:rsid w:val="BF7D4E15"/>
    <w:rsid w:val="BF7F5871"/>
    <w:rsid w:val="BF9ED801"/>
    <w:rsid w:val="BFD180CC"/>
    <w:rsid w:val="BFD7D06D"/>
    <w:rsid w:val="BFEDF6CA"/>
    <w:rsid w:val="BFFE199A"/>
    <w:rsid w:val="C3B9F2FF"/>
    <w:rsid w:val="CB7D1D79"/>
    <w:rsid w:val="CDEF2ABE"/>
    <w:rsid w:val="CFBFDA54"/>
    <w:rsid w:val="CFEF7AEE"/>
    <w:rsid w:val="CFFF4993"/>
    <w:rsid w:val="D33A1ED7"/>
    <w:rsid w:val="D3EFDBF1"/>
    <w:rsid w:val="D7DE04FB"/>
    <w:rsid w:val="D7DFADBA"/>
    <w:rsid w:val="D7FF0962"/>
    <w:rsid w:val="D8EFA680"/>
    <w:rsid w:val="D8FFF6BA"/>
    <w:rsid w:val="D9EF7F10"/>
    <w:rsid w:val="DA2FF9FE"/>
    <w:rsid w:val="DB7E8D1D"/>
    <w:rsid w:val="DB7FD1FA"/>
    <w:rsid w:val="DBBE5066"/>
    <w:rsid w:val="DBF9E546"/>
    <w:rsid w:val="DBFFA17D"/>
    <w:rsid w:val="DCEB6736"/>
    <w:rsid w:val="DCFA79B3"/>
    <w:rsid w:val="DD1FF40E"/>
    <w:rsid w:val="DDEFF1D2"/>
    <w:rsid w:val="DE5C2EEE"/>
    <w:rsid w:val="DEBB597D"/>
    <w:rsid w:val="DEFFB27D"/>
    <w:rsid w:val="DEFFDCD0"/>
    <w:rsid w:val="DF2B5D9A"/>
    <w:rsid w:val="DF3818AF"/>
    <w:rsid w:val="DFB7307A"/>
    <w:rsid w:val="DFDB1E0F"/>
    <w:rsid w:val="DFDFF38B"/>
    <w:rsid w:val="DFF7C0A8"/>
    <w:rsid w:val="DFFBA403"/>
    <w:rsid w:val="DFFD9BBB"/>
    <w:rsid w:val="DFFE06E1"/>
    <w:rsid w:val="E0FFA4C2"/>
    <w:rsid w:val="E3AF9DCF"/>
    <w:rsid w:val="E6FE6C4E"/>
    <w:rsid w:val="E76E2E15"/>
    <w:rsid w:val="EAEF7B9B"/>
    <w:rsid w:val="EBEB58E9"/>
    <w:rsid w:val="EBF71ECE"/>
    <w:rsid w:val="EC3B2DED"/>
    <w:rsid w:val="ED8F6E68"/>
    <w:rsid w:val="EDEA4273"/>
    <w:rsid w:val="EDFBF5D8"/>
    <w:rsid w:val="EEE66418"/>
    <w:rsid w:val="EEFFA246"/>
    <w:rsid w:val="EF7E1955"/>
    <w:rsid w:val="EF7F74F2"/>
    <w:rsid w:val="EFBAC5D1"/>
    <w:rsid w:val="EFCA690A"/>
    <w:rsid w:val="EFDBA54A"/>
    <w:rsid w:val="EFEED412"/>
    <w:rsid w:val="EFEFDED7"/>
    <w:rsid w:val="EFF14B1C"/>
    <w:rsid w:val="EFFF947D"/>
    <w:rsid w:val="F1CB828D"/>
    <w:rsid w:val="F3972F53"/>
    <w:rsid w:val="F3EF8996"/>
    <w:rsid w:val="F3FEC4B1"/>
    <w:rsid w:val="F575B331"/>
    <w:rsid w:val="F5D2B19B"/>
    <w:rsid w:val="F5D7D3B7"/>
    <w:rsid w:val="F5DA43F1"/>
    <w:rsid w:val="F5DF4B32"/>
    <w:rsid w:val="F5FB253A"/>
    <w:rsid w:val="F6BF452C"/>
    <w:rsid w:val="F777F3C9"/>
    <w:rsid w:val="F79714B0"/>
    <w:rsid w:val="F7BFAC8D"/>
    <w:rsid w:val="F7E60BDE"/>
    <w:rsid w:val="F7F5158A"/>
    <w:rsid w:val="F7F542C8"/>
    <w:rsid w:val="F7FF4817"/>
    <w:rsid w:val="F7FF4C99"/>
    <w:rsid w:val="F976547C"/>
    <w:rsid w:val="F9F7F1AF"/>
    <w:rsid w:val="FA75E946"/>
    <w:rsid w:val="FAF7ADF2"/>
    <w:rsid w:val="FAFDDB15"/>
    <w:rsid w:val="FB6B532F"/>
    <w:rsid w:val="FB7F5CFC"/>
    <w:rsid w:val="FB7FDE91"/>
    <w:rsid w:val="FBCF670D"/>
    <w:rsid w:val="FBEF812E"/>
    <w:rsid w:val="FBFF5B5B"/>
    <w:rsid w:val="FBFFD69E"/>
    <w:rsid w:val="FC662DD5"/>
    <w:rsid w:val="FCDE2293"/>
    <w:rsid w:val="FD1E6C30"/>
    <w:rsid w:val="FD3FA22B"/>
    <w:rsid w:val="FD9D3F16"/>
    <w:rsid w:val="FDB9AFC5"/>
    <w:rsid w:val="FDBF92D2"/>
    <w:rsid w:val="FDDF1211"/>
    <w:rsid w:val="FDDF1A0B"/>
    <w:rsid w:val="FDE76581"/>
    <w:rsid w:val="FDEF0520"/>
    <w:rsid w:val="FDF623AD"/>
    <w:rsid w:val="FDFFB361"/>
    <w:rsid w:val="FE3EA1D5"/>
    <w:rsid w:val="FE732B6F"/>
    <w:rsid w:val="FE7BEA87"/>
    <w:rsid w:val="FE9D73D8"/>
    <w:rsid w:val="FEB62A2D"/>
    <w:rsid w:val="FF175DCD"/>
    <w:rsid w:val="FF2F2FF2"/>
    <w:rsid w:val="FF3E105A"/>
    <w:rsid w:val="FF6E20DD"/>
    <w:rsid w:val="FF6F2061"/>
    <w:rsid w:val="FF6F7C82"/>
    <w:rsid w:val="FF7E70A8"/>
    <w:rsid w:val="FF9B2D11"/>
    <w:rsid w:val="FFA3F5E0"/>
    <w:rsid w:val="FFADBDC2"/>
    <w:rsid w:val="FFAF60B4"/>
    <w:rsid w:val="FFB27D1E"/>
    <w:rsid w:val="FFB69BCF"/>
    <w:rsid w:val="FFB6F7E5"/>
    <w:rsid w:val="FFB85507"/>
    <w:rsid w:val="FFBD3D89"/>
    <w:rsid w:val="FFBF7FB9"/>
    <w:rsid w:val="FFBFA4D0"/>
    <w:rsid w:val="FFBFED59"/>
    <w:rsid w:val="FFCCB31E"/>
    <w:rsid w:val="FFD7B23B"/>
    <w:rsid w:val="FFED463B"/>
    <w:rsid w:val="FFEF1E67"/>
    <w:rsid w:val="FFF4009E"/>
    <w:rsid w:val="FFF67050"/>
    <w:rsid w:val="FFF7301E"/>
    <w:rsid w:val="FFFE40DE"/>
    <w:rsid w:val="FFFED77C"/>
    <w:rsid w:val="FFFF4836"/>
    <w:rsid w:val="FFFF6772"/>
    <w:rsid w:val="FFFF7888"/>
    <w:rsid w:val="FFFF9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32"/>
      <w:lang w:val="en-US" w:eastAsia="zh-CN" w:bidi="ar-SA"/>
    </w:rPr>
  </w:style>
  <w:style w:type="paragraph" w:styleId="3">
    <w:name w:val="heading 2"/>
    <w:basedOn w:val="1"/>
    <w:next w:val="1"/>
    <w:link w:val="22"/>
    <w:unhideWhenUsed/>
    <w:qFormat/>
    <w:uiPriority w:val="0"/>
    <w:pPr>
      <w:keepNext/>
      <w:keepLines/>
      <w:spacing w:before="260" w:after="260" w:line="416" w:lineRule="auto"/>
      <w:outlineLvl w:val="1"/>
    </w:pPr>
    <w:rPr>
      <w:rFonts w:ascii="Calibri Light" w:hAnsi="Calibri Light" w:eastAsia="宋体" w:cs="Times New Roman"/>
      <w:b/>
      <w:bCs/>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Body Text"/>
    <w:basedOn w:val="1"/>
    <w:next w:val="1"/>
    <w:qFormat/>
    <w:uiPriority w:val="0"/>
    <w:pPr>
      <w:ind w:right="214"/>
    </w:pPr>
    <w:rPr>
      <w:rFonts w:ascii="仿宋_GB2312" w:eastAsia="仿宋_GB2312"/>
      <w:sz w:val="32"/>
    </w:rPr>
  </w:style>
  <w:style w:type="paragraph" w:styleId="5">
    <w:name w:val="Body Text Indent 2"/>
    <w:basedOn w:val="1"/>
    <w:unhideWhenUsed/>
    <w:qFormat/>
    <w:uiPriority w:val="99"/>
    <w:pPr>
      <w:ind w:left="2100" w:leftChars="1000"/>
    </w:pPr>
    <w:rPr>
      <w:rFonts w:ascii="宋体" w:hAnsi="宋体"/>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footnote text"/>
    <w:basedOn w:val="1"/>
    <w:qFormat/>
    <w:uiPriority w:val="0"/>
    <w:pPr>
      <w:snapToGrid w:val="0"/>
      <w:jc w:val="left"/>
    </w:pPr>
    <w:rPr>
      <w:rFonts w:ascii="Calibri" w:hAnsi="Calibri" w:eastAsia="宋体" w:cs="Times New Roman"/>
      <w:sz w:val="18"/>
      <w:szCs w:val="18"/>
    </w:rPr>
  </w:style>
  <w:style w:type="paragraph" w:styleId="9">
    <w:name w:val="Normal (Web)"/>
    <w:basedOn w:val="1"/>
    <w:qFormat/>
    <w:uiPriority w:val="0"/>
    <w:pPr>
      <w:widowControl/>
      <w:jc w:val="left"/>
    </w:pPr>
    <w:rPr>
      <w:rFonts w:ascii="宋体" w:hAnsi="宋体" w:cs="宋体"/>
      <w:kern w:val="0"/>
      <w:sz w:val="18"/>
      <w:szCs w:val="18"/>
    </w:rPr>
  </w:style>
  <w:style w:type="character" w:styleId="12">
    <w:name w:val="Strong"/>
    <w:basedOn w:val="11"/>
    <w:qFormat/>
    <w:uiPriority w:val="0"/>
    <w:rPr>
      <w:b/>
    </w:rPr>
  </w:style>
  <w:style w:type="character" w:styleId="13">
    <w:name w:val="FollowedHyperlink"/>
    <w:basedOn w:val="11"/>
    <w:qFormat/>
    <w:uiPriority w:val="0"/>
    <w:rPr>
      <w:color w:val="4F4F4F"/>
      <w:u w:val="none"/>
    </w:rPr>
  </w:style>
  <w:style w:type="character" w:styleId="14">
    <w:name w:val="HTML Definition"/>
    <w:basedOn w:val="11"/>
    <w:qFormat/>
    <w:uiPriority w:val="0"/>
    <w:rPr>
      <w:i/>
    </w:rPr>
  </w:style>
  <w:style w:type="character" w:styleId="15">
    <w:name w:val="Hyperlink"/>
    <w:basedOn w:val="11"/>
    <w:qFormat/>
    <w:uiPriority w:val="0"/>
    <w:rPr>
      <w:color w:val="4F4F4F"/>
      <w:u w:val="none"/>
    </w:rPr>
  </w:style>
  <w:style w:type="character" w:styleId="16">
    <w:name w:val="HTML Code"/>
    <w:basedOn w:val="11"/>
    <w:qFormat/>
    <w:uiPriority w:val="0"/>
    <w:rPr>
      <w:rFonts w:hint="default" w:ascii="Menlo" w:hAnsi="Menlo" w:eastAsia="Menlo" w:cs="Menlo"/>
      <w:color w:val="C7254E"/>
      <w:sz w:val="21"/>
      <w:szCs w:val="21"/>
      <w:shd w:val="clear" w:fill="F9F2F4"/>
    </w:rPr>
  </w:style>
  <w:style w:type="character" w:styleId="17">
    <w:name w:val="HTML Keyboard"/>
    <w:basedOn w:val="11"/>
    <w:qFormat/>
    <w:uiPriority w:val="0"/>
    <w:rPr>
      <w:rFonts w:ascii="Menlo" w:hAnsi="Menlo" w:eastAsia="Menlo" w:cs="Menlo"/>
      <w:color w:val="FFFFFF"/>
      <w:sz w:val="21"/>
      <w:szCs w:val="21"/>
      <w:shd w:val="clear" w:fill="333333"/>
    </w:rPr>
  </w:style>
  <w:style w:type="character" w:styleId="18">
    <w:name w:val="HTML Sample"/>
    <w:basedOn w:val="11"/>
    <w:qFormat/>
    <w:uiPriority w:val="0"/>
    <w:rPr>
      <w:rFonts w:hint="default" w:ascii="Menlo" w:hAnsi="Menlo" w:eastAsia="Menlo" w:cs="Menlo"/>
      <w:sz w:val="21"/>
      <w:szCs w:val="21"/>
    </w:rPr>
  </w:style>
  <w:style w:type="paragraph" w:customStyle="1" w:styleId="19">
    <w:name w:val="列出段落1"/>
    <w:qFormat/>
    <w:uiPriority w:val="0"/>
    <w:pPr>
      <w:widowControl w:val="0"/>
      <w:ind w:firstLine="420" w:firstLineChars="200"/>
      <w:jc w:val="both"/>
    </w:pPr>
    <w:rPr>
      <w:rFonts w:asciiTheme="minorHAnsi" w:hAnsiTheme="minorHAnsi" w:eastAsiaTheme="minorEastAsia" w:cstheme="minorBidi"/>
      <w:kern w:val="2"/>
      <w:sz w:val="21"/>
      <w:szCs w:val="24"/>
      <w:lang w:val="en-US" w:eastAsia="zh-CN" w:bidi="ar-SA"/>
    </w:rPr>
  </w:style>
  <w:style w:type="paragraph" w:customStyle="1" w:styleId="20">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1">
    <w:name w:val="BodyText"/>
    <w:basedOn w:val="1"/>
    <w:qFormat/>
    <w:uiPriority w:val="0"/>
    <w:pPr>
      <w:ind w:right="214"/>
      <w:jc w:val="both"/>
      <w:textAlignment w:val="baseline"/>
    </w:pPr>
    <w:rPr>
      <w:rFonts w:ascii="仿宋_GB2312"/>
      <w:kern w:val="2"/>
      <w:sz w:val="21"/>
      <w:szCs w:val="24"/>
      <w:lang w:val="en-US" w:eastAsia="zh-CN" w:bidi="ar-SA"/>
    </w:rPr>
  </w:style>
  <w:style w:type="character" w:customStyle="1" w:styleId="22">
    <w:name w:val="标题 2 Char"/>
    <w:basedOn w:val="11"/>
    <w:link w:val="3"/>
    <w:qFormat/>
    <w:uiPriority w:val="9"/>
    <w:rPr>
      <w:rFonts w:ascii="Calibri Light" w:hAnsi="Calibri Light" w:eastAsia="宋体" w:cs="Times New Roman"/>
      <w:b/>
      <w:bCs/>
      <w:szCs w:val="32"/>
    </w:rPr>
  </w:style>
  <w:style w:type="character" w:customStyle="1" w:styleId="23">
    <w:name w:val="glyphicon2"/>
    <w:basedOn w:val="11"/>
    <w:qFormat/>
    <w:uiPriority w:val="0"/>
  </w:style>
  <w:style w:type="character" w:customStyle="1" w:styleId="24">
    <w:name w:val="old"/>
    <w:basedOn w:val="11"/>
    <w:qFormat/>
    <w:uiPriority w:val="0"/>
    <w:rPr>
      <w:color w:val="999999"/>
    </w:rPr>
  </w:style>
  <w:style w:type="character" w:customStyle="1" w:styleId="25">
    <w:name w:val="hover5"/>
    <w:basedOn w:val="11"/>
    <w:qFormat/>
    <w:uiPriority w:val="0"/>
    <w:rPr>
      <w:shd w:val="clear" w:fill="EEEEEE"/>
    </w:rPr>
  </w:style>
  <w:style w:type="character" w:customStyle="1" w:styleId="26">
    <w:name w:val="hour_pm"/>
    <w:basedOn w:val="11"/>
    <w:qFormat/>
    <w:uiPriority w:val="0"/>
  </w:style>
  <w:style w:type="character" w:customStyle="1" w:styleId="27">
    <w:name w:val="hour_am"/>
    <w:basedOn w:val="11"/>
    <w:qFormat/>
    <w:uiPriority w:val="0"/>
  </w:style>
  <w:style w:type="character" w:customStyle="1" w:styleId="28">
    <w:name w:val="NormalCharacter"/>
    <w:semiHidden/>
    <w:qFormat/>
    <w:uiPriority w:val="0"/>
    <w:rPr>
      <w:kern w:val="2"/>
      <w:sz w:val="21"/>
      <w:szCs w:val="24"/>
      <w:lang w:val="en-US" w:eastAsia="zh-CN" w:bidi="ar-SA"/>
    </w:rPr>
  </w:style>
  <w:style w:type="paragraph" w:customStyle="1" w:styleId="29">
    <w:name w:val="Normal Indent1"/>
    <w:basedOn w:val="1"/>
    <w:qFormat/>
    <w:uiPriority w:val="0"/>
    <w:pPr>
      <w:spacing w:line="660" w:lineRule="exact"/>
      <w:ind w:firstLine="720" w:firstLineChars="200"/>
    </w:pPr>
    <w:rPr>
      <w:rFonts w:eastAsia="楷体_GB2312"/>
      <w:sz w:val="36"/>
      <w:szCs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2020-09-16T00:29:00Z</dcterms:created>
  <dc:creator>lenovo</dc:creator>
  <cp:lastModifiedBy>赵秀芳</cp:lastModifiedBy>
  <cp:lastPrinted>2021-04-08T06:44:00Z</cp:lastPrinted>
  <dcterms:modified xsi:type="dcterms:W3CDTF">2023-10-24T01:39:21Z</dcterms:modified>
  <dc:title>河南省公安厅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101F50B1BFDA4A0FB3E9CF1874AB15B7_13</vt:lpwstr>
  </property>
</Properties>
</file>