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第</w:t>
      </w:r>
      <w:r>
        <w:rPr>
          <w:rFonts w:hint="eastAsia" w:ascii="Times New Roman" w:hAnsi="Times New Roman" w:eastAsia="仿宋_GB2312"/>
          <w:sz w:val="32"/>
          <w:szCs w:val="32"/>
          <w:lang w:val="en-US" w:eastAsia="zh-CN"/>
        </w:rPr>
        <w:t>1期</w:t>
      </w:r>
      <w:bookmarkStart w:id="0" w:name="_GoBack"/>
      <w:bookmarkEnd w:id="0"/>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240" w:lineRule="auto"/>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color w:val="FF0000"/>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长城小标宋体" w:cs="Times New Roman"/>
          <w:sz w:val="44"/>
          <w:szCs w:val="44"/>
          <w:lang w:val="en-US" w:eastAsia="zh-CN"/>
        </w:rPr>
      </w:pPr>
    </w:p>
    <w:p>
      <w:pPr>
        <w:jc w:val="center"/>
        <w:rPr>
          <w:rFonts w:hint="eastAsia" w:ascii="长城小标宋体" w:hAnsi="长城小标宋体" w:eastAsia="长城小标宋体" w:cs="长城小标宋体"/>
          <w:b w:val="0"/>
          <w:bCs/>
          <w:sz w:val="44"/>
          <w:szCs w:val="44"/>
        </w:rPr>
      </w:pPr>
      <w:r>
        <w:rPr>
          <w:rFonts w:hint="eastAsia" w:ascii="长城小标宋体" w:hAnsi="长城小标宋体" w:eastAsia="长城小标宋体" w:cs="长城小标宋体"/>
          <w:b w:val="0"/>
          <w:bCs/>
          <w:sz w:val="44"/>
          <w:szCs w:val="44"/>
        </w:rPr>
        <w:t>绘制经济责任审计蓝图</w:t>
      </w:r>
    </w:p>
    <w:p>
      <w:pPr>
        <w:jc w:val="center"/>
        <w:rPr>
          <w:rFonts w:hint="eastAsia" w:ascii="长城小标宋体" w:hAnsi="长城小标宋体" w:eastAsia="长城小标宋体" w:cs="长城小标宋体"/>
          <w:b w:val="0"/>
          <w:bCs/>
          <w:sz w:val="44"/>
          <w:szCs w:val="44"/>
        </w:rPr>
      </w:pPr>
      <w:r>
        <w:rPr>
          <w:rFonts w:hint="eastAsia" w:ascii="长城小标宋体" w:hAnsi="长城小标宋体" w:eastAsia="长城小标宋体" w:cs="长城小标宋体"/>
          <w:b w:val="0"/>
          <w:bCs/>
          <w:sz w:val="44"/>
          <w:szCs w:val="44"/>
        </w:rPr>
        <w:t>着力为郑煤集团公司发展保驾护航</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widowControl/>
        <w:spacing w:before="0" w:beforeAutospacing="0" w:after="0" w:afterAutospacing="0" w:line="600" w:lineRule="exact"/>
        <w:ind w:firstLine="63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郑煤集团公司内部审计以“围绕经营中心、服务战略大局”为主线，经济责任审计以检查和评价被审计单位行政负责人在任职期间各项经济责任的履行情况为目标，揭示并防范重大生产经营风险，促进被审计对象经济决策行为和经营、管理活动的真实性、合法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有效性，为郑煤集团公司高质量发展保驾护航。</w:t>
      </w:r>
    </w:p>
    <w:p>
      <w:pPr>
        <w:pStyle w:val="4"/>
        <w:widowControl/>
        <w:spacing w:before="0" w:beforeAutospacing="0" w:after="0" w:afterAutospacing="0" w:line="600" w:lineRule="exact"/>
        <w:ind w:firstLine="632" w:firstLineChars="2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一、开展经责审计  促进企业管理</w:t>
      </w:r>
    </w:p>
    <w:p>
      <w:pPr>
        <w:adjustRightInd w:val="0"/>
        <w:spacing w:line="600" w:lineRule="exact"/>
        <w:ind w:firstLine="63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展经济责任审计，是贯彻落实党中央和省委省政府决策部署的要求，是确保党中央和省委省政府政令畅通、令行禁止的重要保障，是促进领导干部履职尽责、担当作为的重要举措。近年来，郑煤集团公司高度重视经济责任审计工作。郑煤集团公司董事长、党委书记李崇在多次会议上强调，开展经济责任审计，是加强干部监督管理的重要形式，既是对我们工作的一次“把脉会诊”，也是对党政主要领导的一次严格“健康体检”，不仅离任要审，更主要的是开展任中审计。郑煤集团公司审计监督部根据经济责任审计相关规定和审计工作计划，对基层单位行政负责人进行经济责任审计，对任职的领导干部履职情况综合评价，为郑煤集团公司干部的考核、任免提供重要参考。</w:t>
      </w:r>
    </w:p>
    <w:p>
      <w:pPr>
        <w:spacing w:line="600" w:lineRule="exact"/>
        <w:ind w:firstLine="63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开展经济责任审计，是企业现代化管理的需要，也是企业高质量健康发展的需要。</w:t>
      </w:r>
      <w:r>
        <w:rPr>
          <w:rFonts w:hint="eastAsia" w:ascii="仿宋_GB2312" w:hAnsi="仿宋_GB2312" w:eastAsia="仿宋_GB2312" w:cs="仿宋_GB2312"/>
          <w:color w:val="000000"/>
          <w:spacing w:val="8"/>
          <w:sz w:val="32"/>
          <w:szCs w:val="32"/>
        </w:rPr>
        <w:t>郑煤集团公司党委把开展经济责任审计作为落实全面从严治党、加强党风廉政建设和预防腐败的重要环节。郑煤集团公司纪委书记程海宏对各单位党政一把手进行经济责任审计提出了具体要求，</w:t>
      </w:r>
      <w:r>
        <w:rPr>
          <w:rFonts w:hint="eastAsia" w:ascii="仿宋_GB2312" w:hAnsi="仿宋_GB2312" w:eastAsia="仿宋_GB2312" w:cs="仿宋_GB2312"/>
          <w:color w:val="000000"/>
          <w:sz w:val="32"/>
          <w:szCs w:val="32"/>
        </w:rPr>
        <w:t>发现被审计单位在经营管理和领导干部履职过程中存在问题的，要提出有针对性的建议和应对措施，促进被审计单位规范各项管理，被审计人员正确履职尽责。</w:t>
      </w:r>
    </w:p>
    <w:p>
      <w:pPr>
        <w:spacing w:line="600" w:lineRule="exact"/>
        <w:ind w:firstLine="632" w:firstLineChars="2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二、聚焦风险审计  推行跟踪督导</w:t>
      </w:r>
    </w:p>
    <w:p>
      <w:pPr>
        <w:spacing w:line="600" w:lineRule="exact"/>
        <w:ind w:firstLine="63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全面与重点兼顾，不断提升审计效能。坚持问题导向与目标导向相结合，聚焦经营高风险领域，关注经济运行中的薄弱环节和风险隐患，突出审计工作重点，推动经济责任</w:t>
      </w:r>
      <w:r>
        <w:rPr>
          <w:rFonts w:hint="eastAsia" w:ascii="仿宋_GB2312" w:hAnsi="仿宋_GB2312" w:eastAsia="仿宋_GB2312" w:cs="仿宋_GB2312"/>
          <w:color w:val="auto"/>
          <w:sz w:val="32"/>
          <w:szCs w:val="32"/>
        </w:rPr>
        <w:t>审计工作全覆盖，</w:t>
      </w:r>
      <w:r>
        <w:rPr>
          <w:rFonts w:hint="eastAsia" w:ascii="仿宋_GB2312" w:hAnsi="仿宋_GB2312" w:eastAsia="仿宋_GB2312" w:cs="仿宋_GB2312"/>
          <w:color w:val="000000"/>
          <w:sz w:val="32"/>
          <w:szCs w:val="32"/>
        </w:rPr>
        <w:t>促进企业健全风险管理组织体系、制度体系、责任体系、报告机制，实现稳健发展。改进审计方法，注重“六核实、六检查、六结合”，加强审计分析研究，理清工作思路，审计方法“因人而宜、因事而设、因时而立、因地制宜”，力争精准施策，提高审计质量。强化审前准备，提前开展调查，确保审计方案有针对、可操作。优化审计流程，规范现场实施。以“挖掘根源、突出实效”为标准，超越账簿、深入流程、支撑管控、瞄准问题、分析判断，推进企业制度完善和机制创新，实现以审计促管理、以审计促效率。</w:t>
      </w:r>
    </w:p>
    <w:p>
      <w:pPr>
        <w:spacing w:line="600" w:lineRule="exact"/>
        <w:ind w:firstLine="63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督与服务并重，推动审计成果运用。建立“整改销号、整改报告、整改责任、整改督查”的整改落实长效机制，强化审计工作效果，有效发挥审计监督对加强企业管理的促进作用。建立整改检查跟踪机制，按照“三不放过”原则，对审计问题整改落实进行跟踪检查，建立整改清单，实行销号管理，保证整改落实效果。分析审计发现的典型性、普遍性、倾向性问题，从体制机制上提出审计建议，做好成果运用，推动企业规范管理。</w:t>
      </w:r>
    </w:p>
    <w:p>
      <w:pPr>
        <w:spacing w:line="600" w:lineRule="exact"/>
        <w:ind w:firstLine="63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硬度与温度结合，营造干事创业良好氛围。强调刚性，融和柔性。既坚持原则，依规追责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又考虑量的标准和质的不同，保护企业干事创业的积极性。在还原事实的基础上，分清责任，做到客观公正，为担当者担当，为负责者负责，为干事者撑腰，营造“三清六有”的政治生态。</w:t>
      </w:r>
    </w:p>
    <w:p>
      <w:pPr>
        <w:spacing w:line="600" w:lineRule="exact"/>
        <w:ind w:firstLine="632" w:firstLineChars="2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三、明确工作思路  绘制审计蓝图</w:t>
      </w:r>
    </w:p>
    <w:p>
      <w:pPr>
        <w:adjustRightInd w:val="0"/>
        <w:spacing w:line="600" w:lineRule="exact"/>
        <w:ind w:firstLine="632" w:firstLineChars="200"/>
        <w:jc w:val="both"/>
        <w:rPr>
          <w:rFonts w:hint="default" w:ascii="Times New Roman" w:hAnsi="Times New Roman" w:cs="Times New Roman"/>
          <w:b w:val="0"/>
          <w:bCs w:val="0"/>
        </w:rPr>
      </w:pPr>
      <w:r>
        <w:rPr>
          <w:rFonts w:hint="eastAsia" w:ascii="仿宋_GB2312" w:hAnsi="仿宋_GB2312" w:eastAsia="仿宋_GB2312" w:cs="仿宋_GB2312"/>
          <w:color w:val="000000"/>
          <w:sz w:val="32"/>
          <w:szCs w:val="32"/>
        </w:rPr>
        <w:t>分管审计监督部工作的郑煤集团公司党委委员、监事会主席姜群义，对郑煤集团公司基层单位的经营情况和单位行政负责人任职情况进行分析研究，本着“应审尽审、凡审必严”的原则，结合审计资源、被审计单位现状、被审计人员任期，要求审计监督部编制经济责任审计中长期规划，根据年度审计工作计划和重点，对郑煤集团公司下一步经济责任审计工作提出要求，明确了“一二三”工作思路。“一”即突出一个重点，推行基层单位行政负责人任中审计与离任审计相结合，探索任中轮审，做到对基层单位领导人员离任必审、任期满</w:t>
      </w:r>
      <w:r>
        <w:rPr>
          <w:rFonts w:hint="default" w:ascii="Times New Roman" w:hAnsi="Times New Roman" w:eastAsia="仿宋_GB2312" w:cs="Times New Roman"/>
          <w:color w:val="000000"/>
          <w:sz w:val="32"/>
          <w:szCs w:val="32"/>
        </w:rPr>
        <w:t>3-5</w:t>
      </w:r>
      <w:r>
        <w:rPr>
          <w:rFonts w:hint="eastAsia" w:ascii="仿宋_GB2312" w:hAnsi="仿宋_GB2312" w:eastAsia="仿宋_GB2312" w:cs="仿宋_GB2312"/>
          <w:color w:val="000000"/>
          <w:sz w:val="32"/>
          <w:szCs w:val="32"/>
        </w:rPr>
        <w:t>年必审，实现任期内至少审计一次，增强审计监督的时效性。“二”即实现两个转变：一是</w:t>
      </w:r>
      <w:r>
        <w:rPr>
          <w:rFonts w:hint="eastAsia" w:ascii="仿宋_GB2312" w:hAnsi="仿宋_GB2312" w:eastAsia="仿宋_GB2312" w:cs="仿宋_GB2312"/>
          <w:color w:val="000000"/>
          <w:sz w:val="32"/>
          <w:szCs w:val="32"/>
          <w:lang w:val="zh-CN"/>
        </w:rPr>
        <w:t>在审计目标上，由审查企业财务收支的真实、合法、效益向管理审计转变；二是在审计内容上，由以财务收支审计为主，向效益审计、内控制度评审、风险导向审计转变。“三”即采取三项措施：一是创新审计方法，</w:t>
      </w:r>
      <w:r>
        <w:rPr>
          <w:rFonts w:hint="eastAsia" w:ascii="仿宋_GB2312" w:hAnsi="仿宋_GB2312" w:eastAsia="仿宋_GB2312" w:cs="仿宋_GB2312"/>
          <w:color w:val="000000"/>
          <w:sz w:val="32"/>
          <w:szCs w:val="32"/>
        </w:rPr>
        <w:t>利用审计信息化技术，开展事中审计和事后审计相结合的方法，提高审计效率；二是加强队伍建设，以增强审计效能为目标，抓学习打基础，抓培训强素质，抓作风树形象，推动基层单位增加审计监督力量，进一步完善审计体系建设，打造一支业务精湛、作风务实、清正廉洁的高素质专业化审计队伍；三是探索联网审计思路，</w:t>
      </w:r>
      <w:r>
        <w:rPr>
          <w:rFonts w:hint="eastAsia" w:ascii="仿宋_GB2312" w:hAnsi="仿宋_GB2312" w:eastAsia="仿宋_GB2312" w:cs="仿宋_GB2312"/>
          <w:color w:val="000000"/>
          <w:sz w:val="32"/>
          <w:szCs w:val="32"/>
          <w:lang w:val="zh-CN"/>
        </w:rPr>
        <w:t>推行对郑煤集团公司所属单位财务系统进行联网，实时查看有关单位的经济运行和财务收支情况，进行远程的检查和监督，实现网络化的审计管理。</w:t>
      </w:r>
    </w:p>
    <w:sectPr>
      <w:footerReference r:id="rId3" w:type="default"/>
      <w:pgSz w:w="11906" w:h="16838"/>
      <w:pgMar w:top="2098" w:right="1531" w:bottom="1928" w:left="1531" w:header="1417" w:footer="1417" w:gutter="0"/>
      <w:pgBorders>
        <w:top w:val="none" w:sz="0" w:space="0"/>
        <w:left w:val="none" w:sz="0" w:space="0"/>
        <w:bottom w:val="none" w:sz="0" w:space="0"/>
        <w:right w:val="none" w:sz="0" w:space="0"/>
      </w:pgBorders>
      <w:pgNumType w:fmt="numberInDash"/>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0822275"/>
    <w:rsid w:val="022A53CB"/>
    <w:rsid w:val="0392490F"/>
    <w:rsid w:val="04EE0CB9"/>
    <w:rsid w:val="0EAF64D9"/>
    <w:rsid w:val="0F603889"/>
    <w:rsid w:val="1CD540DB"/>
    <w:rsid w:val="1D9F49C7"/>
    <w:rsid w:val="1DF932BF"/>
    <w:rsid w:val="1F88487D"/>
    <w:rsid w:val="21E73240"/>
    <w:rsid w:val="228A63C7"/>
    <w:rsid w:val="24450F0F"/>
    <w:rsid w:val="2D067AE1"/>
    <w:rsid w:val="303372EC"/>
    <w:rsid w:val="31AE65ED"/>
    <w:rsid w:val="3CF63331"/>
    <w:rsid w:val="3EAB25E4"/>
    <w:rsid w:val="43B67E24"/>
    <w:rsid w:val="44572C84"/>
    <w:rsid w:val="44BC0C36"/>
    <w:rsid w:val="4710744F"/>
    <w:rsid w:val="4C8758D9"/>
    <w:rsid w:val="4D59532D"/>
    <w:rsid w:val="50385684"/>
    <w:rsid w:val="50FA4D96"/>
    <w:rsid w:val="529E2F53"/>
    <w:rsid w:val="541166E0"/>
    <w:rsid w:val="64BF56FD"/>
    <w:rsid w:val="661A68A5"/>
    <w:rsid w:val="69B82AA8"/>
    <w:rsid w:val="6BE25183"/>
    <w:rsid w:val="706A301D"/>
    <w:rsid w:val="792B6E49"/>
    <w:rsid w:val="7BC44768"/>
    <w:rsid w:val="7CEC1062"/>
    <w:rsid w:val="7FCA4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right="214"/>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姜群义</cp:lastModifiedBy>
  <cp:lastPrinted>2020-09-09T08:29:00Z</cp:lastPrinted>
  <dcterms:modified xsi:type="dcterms:W3CDTF">2021-01-13T00:54:08Z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